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color w:val="auto"/>
          <w:sz w:val="72"/>
          <w:szCs w:val="72"/>
          <w:highlight w:val="none"/>
        </w:rPr>
      </w:pPr>
      <w:r>
        <w:rPr>
          <w:rFonts w:ascii="楷体" w:hAnsi="楷体" w:eastAsia="楷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pStyle w:val="694"/>
        <w:rPr>
          <w:color w:val="auto"/>
          <w:highlight w:val="none"/>
        </w:rPr>
      </w:pPr>
      <w:r>
        <w:rPr>
          <w:color w:val="auto"/>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ind w:firstLine="1807"/>
        <w:spacing w:line="7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项目名称:</w:t>
      </w:r>
      <w:r>
        <w:rPr>
          <w:rFonts w:hint="eastAsia" w:ascii="黑体" w:hAnsi="黑体" w:eastAsia="黑体"/>
          <w:b/>
          <w:color w:val="auto"/>
          <w:sz w:val="36"/>
          <w:szCs w:val="36"/>
          <w:highlight w:val="none"/>
          <w:lang w:eastAsia="zh-CN"/>
        </w:rPr>
        <w:t xml:space="preserve">江苏省清河中学新建宿舍楼内床铺、桌椅、柜子等物资采购项目</w:t>
      </w:r>
      <w:r/>
    </w:p>
    <w:p>
      <w:pPr>
        <w:ind w:firstLine="354"/>
        <w:spacing w:line="760" w:lineRule="exact"/>
        <w:rPr>
          <w:rFonts w:ascii="黑体" w:hAnsi="黑体" w:eastAsia="黑体"/>
          <w:b/>
          <w:color w:val="auto"/>
          <w:sz w:val="36"/>
          <w:szCs w:val="36"/>
          <w:highlight w:val="none"/>
        </w:rPr>
      </w:pPr>
      <w:r>
        <w:rPr>
          <w:rFonts w:ascii="黑体" w:hAnsi="黑体" w:eastAsia="黑体"/>
          <w:b/>
          <w:color w:val="auto"/>
          <w:sz w:val="36"/>
          <w:szCs w:val="36"/>
          <w:highlight w:val="none"/>
        </w:rPr>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ind w:firstLine="1937"/>
        <w:spacing w:line="760" w:lineRule="exact"/>
        <w:rPr>
          <w:rFonts w:hint="eastAsia" w:ascii="黑体" w:hAnsi="黑体" w:eastAsia="黑体"/>
          <w:b/>
          <w:color w:val="auto"/>
          <w:sz w:val="36"/>
          <w:highlight w:val="none"/>
          <w:lang w:eastAsia="zh-CN"/>
        </w:rPr>
      </w:pPr>
      <w:r>
        <w:rPr>
          <w:rFonts w:hint="eastAsia" w:ascii="黑体" w:hAnsi="黑体" w:eastAsia="黑体"/>
          <w:b/>
          <w:color w:val="auto"/>
          <w:sz w:val="36"/>
          <w:highlight w:val="none"/>
        </w:rPr>
        <w:t xml:space="preserve">项目编号:JSZC-320812-HAWS-G2026-0006</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ind w:firstLine="1807"/>
        <w:spacing w:line="60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rPr>
        <w:t xml:space="preserve">采购单位：</w:t>
      </w:r>
      <w:r>
        <w:rPr>
          <w:rFonts w:hint="eastAsia" w:ascii="黑体" w:hAnsi="黑体" w:eastAsia="黑体"/>
          <w:b/>
          <w:color w:val="auto"/>
          <w:sz w:val="36"/>
          <w:szCs w:val="36"/>
          <w:highlight w:val="none"/>
          <w:lang w:eastAsia="zh-CN"/>
        </w:rPr>
        <w:t xml:space="preserve">江苏省清河中学</w:t>
      </w:r>
      <w:r/>
    </w:p>
    <w:p>
      <w:pPr>
        <w:pStyle w:val="741"/>
        <w:rPr>
          <w:rFonts w:ascii="黑体" w:hAnsi="黑体" w:eastAsia="黑体"/>
          <w:b/>
          <w:color w:val="auto"/>
          <w:sz w:val="36"/>
          <w:szCs w:val="36"/>
          <w:highlight w:val="none"/>
        </w:rPr>
      </w:pPr>
      <w:r>
        <w:rPr>
          <w:rFonts w:ascii="黑体" w:hAnsi="黑体" w:eastAsia="黑体"/>
          <w:b/>
          <w:color w:val="auto"/>
          <w:sz w:val="36"/>
          <w:szCs w:val="36"/>
          <w:highlight w:val="none"/>
        </w:rPr>
      </w:r>
      <w:r/>
    </w:p>
    <w:p>
      <w:pPr>
        <w:pStyle w:val="741"/>
        <w:ind w:firstLine="1807"/>
        <w:rPr>
          <w:rFonts w:hint="eastAsia" w:eastAsia="黑体"/>
          <w:color w:val="auto"/>
          <w:highlight w:val="none"/>
          <w:lang w:eastAsia="zh-CN"/>
        </w:rPr>
      </w:pPr>
      <w:r>
        <w:rPr>
          <w:rFonts w:hint="eastAsia" w:ascii="黑体" w:hAnsi="黑体" w:eastAsia="黑体"/>
          <w:b/>
          <w:color w:val="auto"/>
          <w:sz w:val="36"/>
          <w:szCs w:val="36"/>
          <w:highlight w:val="none"/>
        </w:rPr>
        <w:t xml:space="preserve">代理机构：</w:t>
      </w:r>
      <w:r>
        <w:rPr>
          <w:rFonts w:hint="eastAsia" w:ascii="黑体" w:hAnsi="黑体" w:eastAsia="黑体"/>
          <w:b/>
          <w:color w:val="auto"/>
          <w:sz w:val="36"/>
          <w:szCs w:val="36"/>
          <w:highlight w:val="none"/>
          <w:lang w:eastAsia="zh-CN"/>
        </w:rPr>
        <w:t xml:space="preserve">淮安万顺工程项目咨询管理有限公司</w:t>
      </w:r>
      <w:r/>
    </w:p>
    <w:p>
      <w:pPr>
        <w:jc w:val="center"/>
        <w:spacing w:line="600" w:lineRule="exact"/>
        <w:tabs>
          <w:tab w:val="center" w:pos="5215" w:leader="none"/>
        </w:tabs>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二</w:t>
      </w:r>
      <w:r>
        <w:rPr>
          <w:rFonts w:hint="eastAsia" w:ascii="黑体" w:hAnsi="黑体" w:eastAsia="黑体"/>
          <w:b/>
          <w:color w:val="auto"/>
          <w:sz w:val="36"/>
          <w:szCs w:val="36"/>
          <w:highlight w:val="none"/>
          <w:lang w:val="en-US" w:eastAsia="zh-CN"/>
        </w:rPr>
        <w:t xml:space="preserve">〇</w:t>
      </w:r>
      <w:r>
        <w:rPr>
          <w:rFonts w:hint="eastAsia" w:ascii="黑体" w:hAnsi="黑体" w:eastAsia="黑体"/>
          <w:b/>
          <w:color w:val="auto"/>
          <w:sz w:val="36"/>
          <w:szCs w:val="36"/>
          <w:highlight w:val="none"/>
        </w:rPr>
        <w:t xml:space="preserve">二</w:t>
      </w:r>
      <w:r>
        <w:rPr>
          <w:rFonts w:hint="eastAsia" w:ascii="黑体" w:hAnsi="黑体" w:eastAsia="黑体"/>
          <w:b/>
          <w:color w:val="auto"/>
          <w:sz w:val="36"/>
          <w:szCs w:val="36"/>
          <w:highlight w:val="none"/>
          <w:lang w:eastAsia="zh-CN"/>
        </w:rPr>
        <w:t xml:space="preserve">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rPr>
        <w:t xml:space="preserve">月</w:t>
      </w:r>
      <w:r/>
    </w:p>
    <w:p>
      <w:pPr>
        <w:rPr>
          <w:rFonts w:ascii="宋体" w:hAnsi="宋体"/>
          <w:color w:val="auto"/>
          <w:sz w:val="24"/>
          <w:highlight w:val="none"/>
        </w:rPr>
      </w:pPr>
      <w:r>
        <w:rPr>
          <w:rFonts w:ascii="宋体" w:hAnsi="宋体"/>
          <w:color w:val="auto"/>
          <w:sz w:val="24"/>
          <w:highlight w:val="none"/>
        </w:rPr>
      </w:r>
      <w:r/>
    </w:p>
    <w:p>
      <w:pPr>
        <w:ind w:firstLine="2891"/>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ind w:firstLine="3253"/>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3253"/>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江苏省清河中学</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淮安万顺工程项目咨询管理有限公司</w:t>
      </w:r>
      <w:r>
        <w:rPr>
          <w:rFonts w:hint="eastAsia" w:ascii="仿宋" w:hAnsi="仿宋" w:eastAsia="仿宋"/>
          <w:color w:val="auto"/>
          <w:sz w:val="28"/>
          <w:highlight w:val="none"/>
        </w:rPr>
        <w:t xml:space="preserve">就新建宿舍楼内床铺、桌椅、柜子等物资采购政府采购项目进行公开招标采购，现邀请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184150</wp:posOffset>
                </wp:positionV>
                <wp:extent cx="6181090" cy="1433195"/>
                <wp:effectExtent l="4445" t="4445" r="5715" b="10160"/>
                <wp:wrapNone/>
                <wp:docPr id="1" name="矩形 1"/>
                <wp:cNvGraphicFramePr/>
                <a:graphic xmlns:a="http://schemas.openxmlformats.org/drawingml/2006/main">
                  <a:graphicData uri="http://schemas.microsoft.com/office/word/2010/wordprocessingShape">
                    <wps:wsp>
                      <wps:cNvPr id="0" name=""/>
                      <wps:cNvSpPr/>
                      <wps:spPr bwMode="auto">
                        <a:xfrm>
                          <a:off x="0" y="0"/>
                          <a:ext cx="6181090" cy="1433194"/>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江苏省清河中学新建宿舍楼内床铺、桌椅、柜子等物资采购项目</w:t>
                            </w:r>
                            <w:r>
                              <w:rPr>
                                <w:rFonts w:hint="eastAsia" w:ascii="仿宋" w:hAnsi="仿宋" w:eastAsia="仿宋"/>
                                <w:sz w:val="28"/>
                                <w:szCs w:val="28"/>
                              </w:rPr>
                              <w:t xml:space="preserve">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07</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06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点30分（北京时间）前提交投标文件。</w:t>
                            </w:r>
                            <w:r/>
                          </w:p>
                          <w:p>
                            <w:r/>
                            <w:r/>
                          </w:p>
                        </w:txbxContent>
                      </wps:txbx>
                      <wps:bodyPr wrap="square" upright="1"/>
                    </wps:wsp>
                  </a:graphicData>
                </a:graphic>
              </wp:anchor>
            </w:drawing>
          </mc:Choice>
          <mc:Fallback>
            <w:pict>
              <v:shape id="shape 0" o:spid="_x0000_s0" o:spt="1" type="#_x0000_t1" style="position:absolute;z-index:251660288;o:allowoverlap:true;o:allowincell:true;mso-position-horizontal-relative:text;margin-left:0.2pt;mso-position-horizontal:absolute;mso-position-vertical-relative:text;margin-top:14.5pt;mso-position-vertical:absolute;width:486.7pt;height:112.8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江苏省清河中学新建宿舍楼内床铺、桌椅、柜子等物资采购项目</w:t>
                      </w:r>
                      <w:r>
                        <w:rPr>
                          <w:rFonts w:hint="eastAsia" w:ascii="仿宋" w:hAnsi="仿宋" w:eastAsia="仿宋"/>
                          <w:sz w:val="28"/>
                          <w:szCs w:val="28"/>
                        </w:rPr>
                        <w:t xml:space="preserve">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07</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06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点30分（北京时间）前提交投标文件。</w:t>
                      </w:r>
                      <w:r/>
                    </w:p>
                    <w:p>
                      <w:r/>
                      <w:r/>
                    </w:p>
                  </w:txbxContent>
                </v:textbox>
              </v:shape>
            </w:pict>
          </mc:Fallback>
        </mc:AlternateContent>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（一）项目编号:JSZC-320812-HAWS-G2026-0006</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highlight w:val="none"/>
          <w:lang w:eastAsia="zh-CN"/>
        </w:rPr>
        <w:t xml:space="preserve">江苏省清河中学新建宿舍楼内床铺、桌椅、柜子等物资采购项目</w:t>
      </w:r>
      <w:r/>
    </w:p>
    <w:p>
      <w:pPr>
        <w:ind w:firstLine="565"/>
        <w:spacing w:line="520" w:lineRule="exact"/>
        <w:rPr>
          <w:rFonts w:hint="eastAsia" w:ascii="仿宋" w:hAnsi="仿宋" w:eastAsia="仿宋"/>
          <w:color w:val="auto"/>
          <w:sz w:val="28"/>
          <w:highlight w:val="none"/>
          <w:lang w:eastAsia="zh-CN"/>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highlight w:val="none"/>
          <w:lang w:val="en-US" w:eastAsia="zh-CN"/>
        </w:rPr>
        <w:t xml:space="preserve">150</w:t>
      </w:r>
      <w:r>
        <w:rPr>
          <w:rFonts w:hint="eastAsia" w:ascii="仿宋" w:hAnsi="仿宋" w:eastAsia="仿宋"/>
          <w:color w:val="auto"/>
          <w:sz w:val="28"/>
          <w:highlight w:val="none"/>
          <w:lang w:eastAsia="zh-CN"/>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highlight w:val="none"/>
          <w:lang w:val="en-US" w:eastAsia="zh-CN"/>
        </w:rPr>
        <w:t xml:space="preserve">150</w:t>
      </w:r>
      <w:r>
        <w:rPr>
          <w:rFonts w:hint="eastAsia" w:ascii="仿宋" w:hAnsi="仿宋" w:eastAsia="仿宋"/>
          <w:color w:val="auto"/>
          <w:sz w:val="28"/>
          <w:highlight w:val="none"/>
          <w:lang w:eastAsia="zh-CN"/>
        </w:rPr>
        <w:t xml:space="preserve">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sz w:val="28"/>
          <w:szCs w:val="28"/>
          <w:lang w:eastAsia="zh-CN"/>
        </w:rPr>
        <w:t xml:space="preserve">江苏省清河中学新建宿舍楼内床铺、桌椅、柜子等物资采购项目</w:t>
      </w:r>
      <w:r>
        <w:rPr>
          <w:rFonts w:hint="eastAsia" w:ascii="仿宋" w:hAnsi="仿宋" w:eastAsia="仿宋"/>
          <w:sz w:val="28"/>
          <w:szCs w:val="28"/>
        </w:rPr>
        <w:t xml:space="preserve">，详见招标文件第五章。</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（六）合同履行期限:</w:t>
      </w:r>
      <w:r>
        <w:rPr>
          <w:rFonts w:hint="eastAsia" w:ascii="仿宋" w:hAnsi="仿宋" w:eastAsia="仿宋"/>
          <w:sz w:val="28"/>
          <w:szCs w:val="28"/>
        </w:rPr>
        <w:t xml:space="preserve">合同签订后</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日内交货并完成安装、调试并经验收合格。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否）接受联合体投标。</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w:t>
      </w:r>
      <w:bookmarkStart w:id="0" w:name="OLE_LINK1"/>
      <w:r>
        <w:rPr>
          <w:rFonts w:hint="eastAsia" w:ascii="仿宋" w:hAnsi="仿宋" w:eastAsia="仿宋"/>
          <w:color w:val="auto"/>
          <w:sz w:val="28"/>
          <w:szCs w:val="28"/>
          <w:highlight w:val="none"/>
          <w:lang w:val="zh-CN"/>
        </w:rPr>
        <w:t xml:space="preserve">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olor w:val="auto"/>
          <w:sz w:val="28"/>
          <w:szCs w:val="28"/>
          <w:highlight w:val="none"/>
          <w:lang w:val="zh-CN"/>
        </w:rPr>
        <w:t xml:space="preserve">。</w:t>
      </w:r>
      <w:bookmarkEnd w:id="0"/>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val="en-US" w:eastAsia="zh-CN"/>
        </w:rPr>
        <w:t xml:space="preserve">无</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（二）方式：在“淮安市政府采购网”自行免费下载招标文件。投标人</w:t>
      </w:r>
      <w:r>
        <w:rPr>
          <w:rFonts w:hint="eastAsia" w:ascii="仿宋" w:hAnsi="仿宋" w:eastAsia="仿宋"/>
          <w:color w:val="auto"/>
          <w:sz w:val="28"/>
          <w:szCs w:val="28"/>
          <w:highlight w:val="none"/>
          <w:lang w:eastAsia="zh-CN"/>
        </w:rPr>
        <w:t xml:space="preserve">登录</w:t>
      </w:r>
      <w:r>
        <w:rPr>
          <w:rFonts w:hint="eastAsia" w:ascii="仿宋" w:hAnsi="仿宋" w:eastAsia="仿宋"/>
          <w:color w:val="auto"/>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（一）投标文件提交截止时间及开标时间:202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07</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06</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:30。</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江苏省清河中学</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淮安市清江浦区健康西路71号</w:t>
      </w:r>
      <w:r/>
    </w:p>
    <w:p>
      <w:pPr>
        <w:ind w:firstLine="560"/>
        <w:spacing w:line="520" w:lineRule="exact"/>
        <w:rPr>
          <w:rFonts w:hint="eastAsia" w:ascii="仿宋" w:hAnsi="仿宋" w:eastAsia="仿宋" w:cs="Times New Roman"/>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s="Times New Roman"/>
          <w:sz w:val="28"/>
          <w:szCs w:val="28"/>
          <w:lang w:val="en-US" w:eastAsia="zh-CN"/>
        </w:rPr>
        <w:t xml:space="preserve">梁主任    </w:t>
      </w:r>
      <w:r>
        <w:rPr>
          <w:rFonts w:hint="eastAsia" w:ascii="仿宋" w:hAnsi="仿宋" w:eastAsia="仿宋" w:cs="Times New Roman"/>
          <w:sz w:val="28"/>
          <w:szCs w:val="28"/>
        </w:rPr>
        <w:t xml:space="preserve">电话:</w:t>
      </w:r>
      <w:r>
        <w:rPr>
          <w:rFonts w:hint="eastAsia" w:ascii="仿宋" w:hAnsi="仿宋" w:eastAsia="仿宋" w:cs="Times New Roman"/>
          <w:sz w:val="28"/>
          <w:szCs w:val="28"/>
          <w:lang w:val="en-US" w:eastAsia="zh-CN"/>
        </w:rPr>
        <w:t xml:space="preserve">0517-83640930</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名称:</w:t>
      </w:r>
      <w:r>
        <w:rPr>
          <w:rFonts w:hint="eastAsia" w:ascii="仿宋" w:hAnsi="仿宋" w:eastAsia="仿宋"/>
          <w:color w:val="auto"/>
          <w:sz w:val="28"/>
          <w:szCs w:val="28"/>
          <w:highlight w:val="none"/>
          <w:lang w:eastAsia="zh-CN"/>
        </w:rPr>
        <w:t xml:space="preserve">淮安万顺工程项目咨询管理有限公司</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淮安市淮阴区淮海北路668号曼度广场B座7楼</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val="en-US" w:eastAsia="zh-CN"/>
        </w:rPr>
        <w:t xml:space="preserve">葛志江</w:t>
      </w: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rPr>
        <w:t xml:space="preserve">15861726668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w:t>
      </w:r>
      <w:r>
        <w:rPr>
          <w:rFonts w:hint="eastAsia" w:ascii="仿宋" w:hAnsi="仿宋" w:eastAsia="仿宋"/>
          <w:color w:val="auto"/>
          <w:sz w:val="28"/>
          <w:szCs w:val="28"/>
          <w:highlight w:val="none"/>
          <w:lang w:eastAsia="zh-CN"/>
        </w:rPr>
        <w:t xml:space="preserve">淮安万顺工程项目咨询管理有限公司</w:t>
      </w:r>
      <w:r>
        <w:rPr>
          <w:rFonts w:hint="eastAsia" w:ascii="仿宋" w:hAnsi="仿宋" w:eastAsia="仿宋"/>
          <w:color w:val="auto"/>
          <w:sz w:val="28"/>
          <w:szCs w:val="28"/>
          <w:highlight w:val="none"/>
        </w:rPr>
        <w:t xml:space="preserve">在“淮安市政府采购网”发布的更正公告。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spacing w:line="520" w:lineRule="exact"/>
        <w:rPr>
          <w:rFonts w:ascii="仿宋" w:hAnsi="仿宋" w:eastAsia="仿宋"/>
          <w:b/>
          <w:color w:val="auto"/>
          <w:sz w:val="36"/>
          <w:szCs w:val="36"/>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第二章  投标人须知</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2.合格的投标人</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满足第一章投标邀请中投标人资格要求的规定。 </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满足招标文件中实质性条款的规定。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 投标人应自行承担所有与参加投标有关的费用。不论投标的结果如何，</w:t>
      </w:r>
      <w:r>
        <w:rPr>
          <w:rFonts w:hint="eastAsia" w:ascii="仿宋" w:hAnsi="仿宋" w:eastAsia="仿宋"/>
          <w:color w:val="auto"/>
          <w:sz w:val="28"/>
          <w:szCs w:val="28"/>
          <w:highlight w:val="none"/>
          <w:lang w:eastAsia="zh-CN"/>
        </w:rPr>
        <w:t xml:space="preserve">淮安万顺工程项目咨询管理有限公司</w:t>
      </w:r>
      <w:r>
        <w:rPr>
          <w:rFonts w:hint="eastAsia" w:ascii="仿宋" w:hAnsi="仿宋" w:eastAsia="仿宋"/>
          <w:color w:val="auto"/>
          <w:sz w:val="28"/>
          <w:szCs w:val="28"/>
          <w:highlight w:val="none"/>
        </w:rPr>
        <w:t xml:space="preserve">（以下简称代理机构）在任何情况下均无义务和责任承担这些费用。</w:t>
      </w:r>
      <w:r/>
    </w:p>
    <w:p>
      <w:pPr>
        <w:ind w:firstLine="555"/>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4.2本项目代理服务收费：</w:t>
      </w:r>
      <w:r>
        <w:rPr>
          <w:rFonts w:hint="eastAsia" w:ascii="仿宋" w:hAnsi="仿宋" w:eastAsia="仿宋" w:cs="仿宋"/>
          <w:b/>
          <w:bCs/>
          <w:color w:val="auto"/>
          <w:sz w:val="28"/>
          <w:szCs w:val="28"/>
          <w:highlight w:val="none"/>
        </w:rPr>
        <w:t xml:space="preserve">按苏招协〔2022〕002号江苏省招标代理服务收费的指导意见计取。</w:t>
      </w:r>
      <w:r>
        <w:rPr>
          <w:rFonts w:hint="eastAsia" w:ascii="仿宋" w:hAnsi="仿宋" w:eastAsia="仿宋"/>
          <w:b/>
          <w:bCs/>
          <w:color w:val="auto"/>
          <w:sz w:val="28"/>
          <w:szCs w:val="28"/>
          <w:highlight w:val="none"/>
        </w:rPr>
        <w:t xml:space="preserve">包含在投标报价内，但不用单独列项。成交供应商在领取成交通知书前向采购代理机构一次性付清代理服务费。</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5、招标文件的约束力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5.1投标人一旦参加本项目采购活动，即被认为接受了本招标文件的规定和约束。</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投标邀请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投标人须知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合同文本</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6.4评标方法与评标标准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项目采购需求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 投标文件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在投标截止时间前，代理机构可以对招标文件进行修改。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代理机构有权按照法定的要求推迟投标截止日期和开标日期。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招标文件的修改将在江苏政府采购网、淮安市政府采购网公布，补充文件将作为招标文件的组成部分，并对投标人具有约束力。</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spacing w:line="520" w:lineRule="exact"/>
        <w:rPr>
          <w:rFonts w:ascii="仿宋" w:hAnsi="仿宋" w:eastAsia="仿宋"/>
          <w:color w:val="auto"/>
          <w:sz w:val="28"/>
          <w:szCs w:val="28"/>
          <w:highlight w:val="none"/>
        </w:rPr>
      </w:pPr>
      <w:r/>
      <w:bookmarkStart w:id="1" w:name="_Toc462564073"/>
      <w:r/>
      <w:bookmarkStart w:id="2" w:name="_Toc16938530"/>
      <w:r/>
      <w:bookmarkStart w:id="3" w:name="_Toc20823286"/>
      <w:r/>
      <w:bookmarkStart w:id="4" w:name="_Toc513029214"/>
      <w:r>
        <w:rPr>
          <w:rFonts w:hint="eastAsia" w:ascii="仿宋" w:hAnsi="仿宋" w:eastAsia="仿宋"/>
          <w:color w:val="auto"/>
          <w:sz w:val="28"/>
          <w:szCs w:val="28"/>
          <w:highlight w:val="none"/>
        </w:rPr>
        <w:t xml:space="preserve">8.投标文件的语言及度量衡单位</w:t>
      </w:r>
      <w:bookmarkEnd w:id="1"/>
      <w:r/>
      <w:bookmarkEnd w:id="2"/>
      <w:r/>
      <w:bookmarkEnd w:id="3"/>
      <w:r/>
      <w:bookmarkEnd w:id="4"/>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投标人提交的投标文件以及投标人与代理机构就有关投标的所有来往通知、函件和文件均应使用简体中文。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w:t>
      </w:r>
      <w:r>
        <w:rPr>
          <w:rFonts w:hint="eastAsia" w:ascii="仿宋" w:hAnsi="仿宋" w:eastAsia="仿宋"/>
          <w:b/>
          <w:bCs/>
          <w:color w:val="auto"/>
          <w:sz w:val="28"/>
          <w:szCs w:val="28"/>
          <w:highlight w:val="none"/>
        </w:rPr>
        <w:t xml:space="preserve">如标书制作工具中格式和内容与“江苏省政府采购网”、“淮安市政府采购网”发布的招标文件不一致，请以“江苏省政府采购网”、“淮安市政府采购网”发布的招标文件为准。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投标人应按照招标文件规定格式填报投标分项报价表。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 投标人可在投标文件中提供认为需要的其他技术文件或说明。</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 投标人需根据招标文件要求提供培训计划。</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 投标人需根据招标文件要求提供所投标的的主要组成部分、功能设计、实现思路及关键技术等。</w:t>
      </w:r>
      <w:r/>
    </w:p>
    <w:p>
      <w:pPr>
        <w:spacing w:line="520" w:lineRule="exact"/>
        <w:rPr>
          <w:rFonts w:ascii="仿宋" w:hAnsi="仿宋" w:eastAsia="仿宋"/>
          <w:color w:val="auto"/>
          <w:sz w:val="28"/>
          <w:szCs w:val="28"/>
          <w:highlight w:val="none"/>
        </w:rPr>
      </w:pPr>
      <w:r/>
      <w:bookmarkStart w:id="5" w:name="_Toc14577359"/>
      <w:r/>
      <w:bookmarkStart w:id="6" w:name="_Toc49090510"/>
      <w:r>
        <w:rPr>
          <w:rFonts w:hint="eastAsia" w:ascii="仿宋" w:hAnsi="仿宋" w:eastAsia="仿宋"/>
          <w:color w:val="auto"/>
          <w:sz w:val="28"/>
          <w:szCs w:val="28"/>
          <w:highlight w:val="none"/>
        </w:rPr>
        <w:t xml:space="preserve">14.投标函和开标一览表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5"/>
      <w:r/>
      <w:bookmarkEnd w:id="6"/>
      <w:r/>
      <w:r/>
    </w:p>
    <w:p>
      <w:pPr>
        <w:spacing w:line="520" w:lineRule="exact"/>
        <w:rPr>
          <w:rFonts w:ascii="仿宋" w:hAnsi="仿宋" w:eastAsia="仿宋"/>
          <w:color w:val="auto"/>
          <w:sz w:val="28"/>
          <w:szCs w:val="28"/>
          <w:highlight w:val="none"/>
        </w:rPr>
      </w:pPr>
      <w:r/>
      <w:bookmarkStart w:id="7" w:name="_Toc14577360"/>
      <w:r/>
      <w:bookmarkStart w:id="8" w:name="_Toc49090511"/>
      <w:r>
        <w:rPr>
          <w:rFonts w:hint="eastAsia" w:ascii="仿宋" w:hAnsi="仿宋" w:eastAsia="仿宋"/>
          <w:color w:val="auto"/>
          <w:sz w:val="28"/>
          <w:szCs w:val="28"/>
          <w:highlight w:val="none"/>
        </w:rPr>
        <w:t xml:space="preserve">15.投标有效期</w:t>
      </w:r>
      <w:bookmarkEnd w:id="7"/>
      <w:r/>
      <w:bookmarkEnd w:id="8"/>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 投标有效期为代理机构规定的开标之日后九十（90）天。投标有效期比规定短的将被视为未实质性响应招标文件而予以拒绝。</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17.方案部分（如本项目涉及的话）</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 本项目评标标准中的方案部分进行评审。</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18.1 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 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18.3 投标人上传电子投标文件的时间不得迟于投标邀请中规定的截止时间。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18.4 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19.1 在招标文件规定的提交投标文件截止时间后上传的电子投标文件。</w:t>
      </w:r>
      <w:r/>
    </w:p>
    <w:p>
      <w:pPr>
        <w:spacing w:line="52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20.2 投标人不得在开标时间以后修改电子投标文件。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20.3 投标人不得在提交电子投标文件截止时间起至投标有效期满前撤回电子投标文件。</w:t>
      </w:r>
      <w:r/>
    </w:p>
    <w:p>
      <w:pPr>
        <w:numPr>
          <w:ilvl w:val="0"/>
          <w:numId w:val="4"/>
        </w:numPr>
        <w:spacing w:line="520" w:lineRule="exact"/>
        <w:rPr>
          <w:rFonts w:ascii="仿宋" w:hAnsi="仿宋" w:eastAsia="仿宋"/>
          <w:b/>
          <w:color w:val="auto"/>
          <w:sz w:val="32"/>
          <w:szCs w:val="32"/>
          <w:highlight w:val="none"/>
        </w:rPr>
      </w:pPr>
      <w:r/>
      <w:bookmarkStart w:id="9" w:name="_Toc162083530"/>
      <w:r>
        <w:rPr>
          <w:rFonts w:hint="eastAsia" w:ascii="仿宋" w:hAnsi="仿宋" w:eastAsia="仿宋"/>
          <w:b/>
          <w:color w:val="auto"/>
          <w:sz w:val="32"/>
          <w:szCs w:val="32"/>
          <w:highlight w:val="none"/>
        </w:rPr>
        <w:t xml:space="preserve">开标及评标</w:t>
      </w:r>
      <w:bookmarkEnd w:id="9"/>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 代理机构将在招标公告中规定的时间和地点组织开标。投标人应当按照《操作手册》规定，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21.2 开标仪式由代理机构组织。苏采云系统将自动对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highlight w:val="none"/>
        </w:rPr>
      </w:pPr>
      <w:r/>
      <w:bookmarkStart w:id="10" w:name="_Toc16938547"/>
      <w:r/>
      <w:bookmarkStart w:id="11" w:name="_Toc513029231"/>
      <w:r/>
      <w:bookmarkStart w:id="12" w:name="_Toc20823303"/>
      <w:r>
        <w:rPr>
          <w:rFonts w:hint="eastAsia" w:ascii="仿宋" w:hAnsi="仿宋" w:eastAsia="仿宋"/>
          <w:color w:val="auto"/>
          <w:sz w:val="28"/>
          <w:szCs w:val="28"/>
          <w:highlight w:val="none"/>
        </w:rPr>
        <w:t xml:space="preserve">22.评标委员会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 开标后，代理机构将立即组织评标委员会（以下简称评委会）进行评标。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22.3 评委会独立工作，负责评审所有投标文件并确定中标</w:t>
      </w:r>
      <w:r>
        <w:rPr>
          <w:rFonts w:hint="eastAsia" w:ascii="仿宋" w:hAnsi="仿宋" w:eastAsia="仿宋"/>
          <w:color w:val="auto"/>
          <w:sz w:val="28"/>
          <w:szCs w:val="28"/>
          <w:highlight w:val="none"/>
          <w:lang w:eastAsia="zh-CN"/>
        </w:rPr>
        <w:t xml:space="preserve">候</w:t>
      </w:r>
      <w:r>
        <w:rPr>
          <w:rFonts w:hint="eastAsia" w:ascii="仿宋" w:hAnsi="仿宋" w:eastAsia="仿宋"/>
          <w:color w:val="auto"/>
          <w:sz w:val="28"/>
          <w:szCs w:val="28"/>
          <w:highlight w:val="none"/>
        </w:rPr>
        <w:t xml:space="preserve">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23．评标过程的保密与公正</w:t>
      </w:r>
      <w:bookmarkEnd w:id="10"/>
      <w:r/>
      <w:bookmarkEnd w:id="11"/>
      <w:r/>
      <w:bookmarkEnd w:id="12"/>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23.1 凡是与审查、澄清、评价和比较投标的有关资料以及授标建议等，采购人、评委、代理机构均不得向投标人或与评标无关的其他人员透露。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代理机构和评标委员会不向未中标的投标人解释未中标原因，也不公布评标过程中的相关细节。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13" w:name="_Toc20823304"/>
      <w:r/>
      <w:bookmarkStart w:id="14" w:name="_Toc16938548"/>
      <w:r/>
      <w:bookmarkStart w:id="15" w:name="_Toc513029232"/>
      <w:r>
        <w:rPr>
          <w:rFonts w:hint="eastAsia" w:ascii="仿宋" w:hAnsi="仿宋" w:eastAsia="仿宋"/>
          <w:color w:val="auto"/>
          <w:sz w:val="28"/>
          <w:szCs w:val="28"/>
          <w:highlight w:val="none"/>
        </w:rPr>
        <w:t xml:space="preserve">24．投标文件的澄清</w:t>
      </w:r>
      <w:bookmarkEnd w:id="13"/>
      <w:r/>
      <w:bookmarkEnd w:id="14"/>
      <w:r/>
      <w:bookmarkEnd w:id="15"/>
      <w:r/>
      <w:r/>
    </w:p>
    <w:p>
      <w:pPr>
        <w:ind w:firstLine="560"/>
        <w:spacing w:line="520" w:lineRule="exact"/>
        <w:rPr>
          <w:rFonts w:ascii="仿宋" w:hAnsi="仿宋" w:eastAsia="仿宋"/>
          <w:color w:val="auto"/>
          <w:sz w:val="28"/>
          <w:szCs w:val="28"/>
          <w:highlight w:val="none"/>
        </w:rPr>
      </w:pPr>
      <w:r/>
      <w:bookmarkStart w:id="16" w:name="_Toc513029233"/>
      <w:r/>
      <w:bookmarkStart w:id="17" w:name="_Toc20823305"/>
      <w:r/>
      <w:bookmarkStart w:id="18"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委会并非对每个投标人都做澄清要求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6"/>
      <w:r/>
      <w:bookmarkEnd w:id="17"/>
      <w:r/>
      <w:bookmarkEnd w:id="18"/>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 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25.5 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highlight w:val="none"/>
        </w:rPr>
      </w:pPr>
      <w:r/>
      <w:bookmarkStart w:id="19" w:name="_Toc16938550"/>
      <w:r/>
      <w:bookmarkStart w:id="20" w:name="_Toc20823306"/>
      <w:r/>
      <w:bookmarkStart w:id="21" w:name="_Toc513029234"/>
      <w:r>
        <w:rPr>
          <w:rFonts w:hint="eastAsia" w:ascii="仿宋" w:hAnsi="仿宋" w:eastAsia="仿宋"/>
          <w:color w:val="auto"/>
          <w:sz w:val="28"/>
          <w:szCs w:val="28"/>
          <w:highlight w:val="none"/>
        </w:rPr>
        <w:t xml:space="preserve">25.6 </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25.7 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并安排专人与代理机构及评标委员会联系。</w:t>
      </w:r>
      <w:r/>
    </w:p>
    <w:p>
      <w:pPr>
        <w:ind w:firstLine="560"/>
        <w:keepLines w:val="0"/>
        <w:keepNext w:val="0"/>
        <w:pageBreakBefore w:val="0"/>
        <w:spacing w:line="520" w:lineRule="exact"/>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25.8 异常低价投标审查</w:t>
      </w:r>
      <w:r/>
    </w:p>
    <w:p>
      <w:pPr>
        <w:ind w:firstLine="562"/>
        <w:keepLines w:val="0"/>
        <w:keepNext w:val="0"/>
        <w:pageBreakBefore w:val="0"/>
        <w:spacing w:line="520" w:lineRule="exact"/>
        <w:rPr>
          <w:rFonts w:ascii="仿宋" w:hAnsi="仿宋" w:eastAsia="仿宋" w:cs="Times New Roman"/>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25.8.1 评标过程中出现下列情形之一的，评标委员会应当启动异常低价投标审查程序：</w:t>
      </w:r>
      <w:r/>
    </w:p>
    <w:p>
      <w:pPr>
        <w:ind w:firstLine="562"/>
        <w:keepLines w:val="0"/>
        <w:keepNext w:val="0"/>
        <w:pageBreakBefore w:val="0"/>
        <w:spacing w:line="520" w:lineRule="exact"/>
        <w:rPr>
          <w:rFonts w:ascii="仿宋" w:hAnsi="仿宋" w:eastAsia="仿宋" w:cs="Times New Roman"/>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2"/>
        <w:keepLines w:val="0"/>
        <w:keepNext w:val="0"/>
        <w:pageBreakBefore w:val="0"/>
        <w:spacing w:line="520" w:lineRule="exact"/>
        <w:rPr>
          <w:rFonts w:ascii="仿宋" w:hAnsi="仿宋" w:eastAsia="仿宋" w:cs="Times New Roman"/>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2"/>
        <w:keepLines w:val="0"/>
        <w:keepNext w:val="0"/>
        <w:pageBreakBefore w:val="0"/>
        <w:spacing w:line="520" w:lineRule="exact"/>
        <w:rPr>
          <w:rFonts w:ascii="仿宋" w:hAnsi="仿宋" w:eastAsia="仿宋" w:cs="Times New Roman"/>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（3）投标（响应）报价低于采购项目最高限价45%的，即投标（响应）报价&lt;采购项目最高限价×45%；</w:t>
      </w:r>
      <w:r/>
    </w:p>
    <w:p>
      <w:pPr>
        <w:ind w:firstLine="562"/>
        <w:keepLines w:val="0"/>
        <w:keepNext w:val="0"/>
        <w:pageBreakBefore w:val="0"/>
        <w:spacing w:line="520" w:lineRule="exact"/>
        <w:rPr>
          <w:rFonts w:ascii="仿宋" w:hAnsi="仿宋" w:eastAsia="仿宋" w:cs="Times New Roman"/>
          <w:color w:val="auto"/>
          <w:sz w:val="28"/>
          <w:szCs w:val="28"/>
          <w:highlight w:val="none"/>
        </w:rPr>
        <w:outlineLvl w:val="9"/>
      </w:pPr>
      <w:r>
        <w:rPr>
          <w:rFonts w:hint="eastAsia" w:ascii="仿宋" w:hAnsi="仿宋" w:eastAsia="仿宋" w:cs="Times New Roman"/>
          <w:b/>
          <w:bCs/>
          <w:color w:val="auto"/>
          <w:sz w:val="28"/>
          <w:szCs w:val="28"/>
          <w:highlight w:val="none"/>
        </w:rPr>
        <w:t xml:space="preserve">（4）评审委员会基于专业判断，认为供应商报价过低，有可能影响产品质量或者不能诚信履约的其他情形。</w:t>
      </w:r>
      <w:r/>
    </w:p>
    <w:p>
      <w:pPr>
        <w:ind w:firstLine="562"/>
        <w:keepLines w:val="0"/>
        <w:keepNext w:val="0"/>
        <w:pageBreakBefore w:val="0"/>
        <w:spacing w:line="520" w:lineRule="exact"/>
        <w:rPr>
          <w:rFonts w:ascii="仿宋" w:hAnsi="仿宋" w:eastAsia="仿宋" w:cs="Times New Roman"/>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2"/>
        <w:keepLines w:val="0"/>
        <w:keepNext w:val="0"/>
        <w:pageBreakBefore w:val="0"/>
        <w:spacing w:line="520" w:lineRule="exact"/>
        <w:rPr>
          <w:rFonts w:ascii="仿宋" w:hAnsi="仿宋" w:eastAsia="仿宋" w:cs="Times New Roman"/>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keepLines w:val="0"/>
        <w:keepNext w:val="0"/>
        <w:pageBreakBefore w:val="0"/>
        <w:spacing w:line="520" w:lineRule="exact"/>
        <w:rPr>
          <w:rFonts w:hint="eastAsia" w:ascii="仿宋" w:hAnsi="仿宋" w:eastAsia="仿宋"/>
          <w:b/>
          <w:bCs/>
          <w:color w:val="auto"/>
          <w:sz w:val="28"/>
          <w:szCs w:val="28"/>
          <w:highlight w:val="none"/>
        </w:rPr>
        <w:outlineLvl w:val="9"/>
      </w:pPr>
      <w:r>
        <w:rPr>
          <w:rFonts w:hint="eastAsia" w:ascii="仿宋" w:hAnsi="仿宋" w:eastAsia="仿宋" w:cs="Times New Roman"/>
          <w:b/>
          <w:bCs/>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9"/>
      <w:r/>
      <w:bookmarkEnd w:id="20"/>
      <w:r/>
      <w:bookmarkEnd w:id="21"/>
      <w:r>
        <w:rPr>
          <w:rFonts w:hint="eastAsia" w:ascii="仿宋" w:hAnsi="仿宋" w:eastAsia="仿宋"/>
          <w:color w:val="auto"/>
          <w:sz w:val="28"/>
          <w:szCs w:val="28"/>
          <w:highlight w:val="none"/>
        </w:rPr>
        <w:t xml:space="preserve">6.无效投标条款和废标条款</w:t>
      </w:r>
      <w:r/>
    </w:p>
    <w:p>
      <w:pPr>
        <w:ind w:firstLine="560"/>
        <w:spacing w:line="520" w:lineRule="exact"/>
        <w:rPr>
          <w:rFonts w:ascii="仿宋" w:hAnsi="仿宋" w:eastAsia="仿宋"/>
          <w:color w:val="auto"/>
          <w:sz w:val="28"/>
          <w:szCs w:val="28"/>
          <w:highlight w:val="none"/>
        </w:rPr>
      </w:pPr>
      <w:r/>
      <w:bookmarkStart w:id="22" w:name="_Toc20823307"/>
      <w:r/>
      <w:bookmarkStart w:id="23" w:name="_Toc16938551"/>
      <w:r/>
      <w:bookmarkStart w:id="24" w:name="_Toc513029235"/>
      <w:r>
        <w:rPr>
          <w:rFonts w:hint="eastAsia" w:ascii="仿宋" w:hAnsi="仿宋" w:eastAsia="仿宋"/>
          <w:color w:val="auto"/>
          <w:sz w:val="28"/>
          <w:szCs w:val="28"/>
          <w:highlight w:val="none"/>
        </w:rPr>
        <w:t xml:space="preserve">26.1无效投标条款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 投标人在苏采云系统规定的时间内未成功解密电子投标文件的。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投标人不具备招标文件中规定资格要求的。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 投标人的报价超过了采购预算或最高限价的。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 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 </w:t>
      </w:r>
      <w:bookmarkStart w:id="25" w:name="OLE_LINK4"/>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bookmarkEnd w:id="25"/>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 评标委员会按照本招标文件规定对投标人进行异常低价投标审查后，认为投标人不能证明其报价合理性的。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投标文件未按照招标文件要求加盖CA电子公章的。</w:t>
      </w:r>
      <w:r/>
    </w:p>
    <w:p>
      <w:pPr>
        <w:ind w:firstLine="560"/>
        <w:spacing w:line="520" w:lineRule="exact"/>
        <w:rPr>
          <w:color w:val="auto"/>
          <w:highlight w:val="none"/>
        </w:rPr>
      </w:pPr>
      <w:r>
        <w:rPr>
          <w:rFonts w:hint="eastAsia" w:ascii="仿宋" w:hAnsi="仿宋" w:eastAsia="仿宋"/>
          <w:color w:val="auto"/>
          <w:sz w:val="28"/>
          <w:szCs w:val="28"/>
          <w:highlight w:val="none"/>
        </w:rPr>
        <w:t xml:space="preserve">26.1.13 其他法律、法规及本招标文件规定的属无效投标的情形。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 废标条款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26.2.1 符合专业条件的供应商或者对招标文件作实质响应的供应商不足三家的。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26.2.2 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26.2.3 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26.2.4 评标委员会认定招标文件存在歧义、重大缺陷导致评审工作无法进行。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26.2.5 因苏采云系统</w:t>
      </w:r>
      <w:r>
        <w:rPr>
          <w:rFonts w:ascii="仿宋" w:hAnsi="仿宋" w:eastAsia="仿宋"/>
          <w:color w:val="auto"/>
          <w:sz w:val="28"/>
          <w:szCs w:val="28"/>
          <w:highlight w:val="none"/>
        </w:rPr>
        <w:t xml:space="preserve">系统故障原因造成开标不成功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 投标截止时间结束后参加投标的供应商不足三家的处理：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26.3.1 如出现投标截止时间结束后参加投标的供应商或者在评标期间对招标文件做出实质响应的供应商不足三家情况，按政府采购相关规定执行。</w:t>
      </w:r>
      <w:bookmarkEnd w:id="22"/>
      <w:r/>
      <w:bookmarkEnd w:id="23"/>
      <w:r/>
      <w:bookmarkEnd w:id="24"/>
      <w:r/>
      <w:r/>
    </w:p>
    <w:p>
      <w:pPr>
        <w:numPr>
          <w:ilvl w:val="0"/>
          <w:numId w:val="4"/>
        </w:numPr>
        <w:ind w:firstLine="482"/>
        <w:spacing w:line="520" w:lineRule="exact"/>
        <w:rPr>
          <w:rFonts w:ascii="仿宋" w:hAnsi="仿宋" w:eastAsia="仿宋"/>
          <w:b/>
          <w:color w:val="auto"/>
          <w:sz w:val="32"/>
          <w:szCs w:val="32"/>
          <w:highlight w:val="none"/>
        </w:rPr>
      </w:pPr>
      <w:r/>
      <w:bookmarkStart w:id="26" w:name="_Toc120614219"/>
      <w:r>
        <w:rPr>
          <w:rFonts w:hint="eastAsia" w:ascii="仿宋" w:hAnsi="仿宋" w:eastAsia="仿宋"/>
          <w:b/>
          <w:color w:val="auto"/>
          <w:sz w:val="32"/>
          <w:szCs w:val="32"/>
          <w:highlight w:val="none"/>
        </w:rPr>
        <w:t xml:space="preserve">定标</w:t>
      </w:r>
      <w:bookmarkEnd w:id="26"/>
      <w:r/>
      <w:r/>
    </w:p>
    <w:p>
      <w:pPr>
        <w:spacing w:line="520" w:lineRule="exact"/>
        <w:rPr>
          <w:rFonts w:ascii="仿宋" w:hAnsi="仿宋" w:eastAsia="仿宋"/>
          <w:color w:val="auto"/>
          <w:sz w:val="28"/>
          <w:szCs w:val="28"/>
          <w:highlight w:val="none"/>
        </w:rPr>
      </w:pPr>
      <w:r/>
      <w:bookmarkStart w:id="27" w:name="_Toc513029238"/>
      <w:r/>
      <w:bookmarkStart w:id="28" w:name="_Toc16938554"/>
      <w:r/>
      <w:bookmarkStart w:id="29" w:name="_Toc20823310"/>
      <w:r>
        <w:rPr>
          <w:rFonts w:hint="eastAsia" w:ascii="仿宋" w:hAnsi="仿宋" w:eastAsia="仿宋"/>
          <w:color w:val="auto"/>
          <w:sz w:val="28"/>
          <w:szCs w:val="28"/>
          <w:highlight w:val="none"/>
        </w:rPr>
        <w:t xml:space="preserve">2</w:t>
      </w:r>
      <w:bookmarkEnd w:id="27"/>
      <w:r>
        <w:rPr>
          <w:rFonts w:hint="eastAsia" w:ascii="仿宋" w:hAnsi="仿宋" w:eastAsia="仿宋"/>
          <w:color w:val="auto"/>
          <w:sz w:val="28"/>
          <w:szCs w:val="28"/>
          <w:highlight w:val="none"/>
        </w:rPr>
        <w:t xml:space="preserve">7.确定</w:t>
      </w:r>
      <w:bookmarkEnd w:id="28"/>
      <w:r/>
      <w:bookmarkEnd w:id="29"/>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 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27.2 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27.3 代理机构将在“江苏省政府采购网”、“淮安市政府采购网”发布中标公告，公告期限为1个工作日。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 若有充分证据证明，中标人出现下列情况之一的，一经查实，将被取消中标资格：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27.4.1 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27.4.2 向采购人、代理机构行贿或者提供其他不正当利益的。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27.4.3 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27.4.4 与采购人或者其他供应商恶意串通的。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27.4.5 采取不正当手段诋毁、排挤其他供应商的。</w:t>
      </w:r>
      <w:r/>
    </w:p>
    <w:p>
      <w:pPr>
        <w:ind w:firstLine="560"/>
        <w:spacing w:line="520" w:lineRule="exact"/>
        <w:rPr>
          <w:rFonts w:ascii="仿宋" w:hAnsi="仿宋" w:eastAsia="仿宋"/>
          <w:color w:val="auto"/>
          <w:sz w:val="28"/>
          <w:szCs w:val="28"/>
          <w:highlight w:val="none"/>
        </w:rPr>
      </w:pPr>
      <w:r/>
      <w:bookmarkStart w:id="30"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27.5.1不同投标人的投标文件由同一单位或者个人编制；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27.5.2不同投标人委托同一单位或者个人办理投标事宜；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27.5.3 不同投标人的投标文件载明的项目管理成员或者联系人员为同一人；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27.5.4不同投标人的投标文件异常一致或者投标报价呈规律性差异；</w:t>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8．质疑处理</w:t>
      </w:r>
      <w:bookmarkEnd w:id="30"/>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28.2 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28.5 质疑函应当包括以下主要内容，附上相关证明材料。否则，代理机构不予受理。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（1）质疑投标人的名称、地址、邮编、联系人及联系电话；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color w:val="auto"/>
          <w:sz w:val="32"/>
          <w:szCs w:val="32"/>
          <w:highlight w:val="none"/>
        </w:rPr>
      </w:pPr>
      <w:r/>
      <w:bookmarkStart w:id="31" w:name="_Toc20823308"/>
      <w:r/>
      <w:bookmarkStart w:id="32" w:name="_Toc120614220"/>
      <w:r/>
      <w:bookmarkStart w:id="33" w:name="_Toc16938552"/>
      <w:r/>
      <w:bookmarkStart w:id="34" w:name="_Toc513029236"/>
      <w:r>
        <w:rPr>
          <w:rFonts w:hint="eastAsia" w:ascii="仿宋" w:hAnsi="仿宋" w:eastAsia="仿宋"/>
          <w:b/>
          <w:color w:val="auto"/>
          <w:sz w:val="32"/>
          <w:szCs w:val="32"/>
          <w:highlight w:val="none"/>
        </w:rPr>
        <w:t xml:space="preserve">授予合同</w:t>
      </w:r>
      <w:bookmarkEnd w:id="31"/>
      <w:r/>
      <w:bookmarkEnd w:id="32"/>
      <w:r/>
      <w:bookmarkEnd w:id="33"/>
      <w:r/>
      <w:bookmarkEnd w:id="34"/>
      <w:r/>
      <w:r/>
    </w:p>
    <w:p>
      <w:pPr>
        <w:spacing w:line="520" w:lineRule="exact"/>
        <w:rPr>
          <w:rFonts w:ascii="仿宋" w:hAnsi="仿宋" w:eastAsia="仿宋"/>
          <w:color w:val="auto"/>
          <w:sz w:val="28"/>
          <w:szCs w:val="28"/>
          <w:highlight w:val="none"/>
        </w:rPr>
      </w:pPr>
      <w:r/>
      <w:bookmarkStart w:id="35" w:name="_Toc513029237"/>
      <w:r/>
      <w:bookmarkStart w:id="36" w:name="_Toc16938553"/>
      <w:r/>
      <w:bookmarkStart w:id="37" w:name="_Toc20823309"/>
      <w:r>
        <w:rPr>
          <w:rFonts w:hint="eastAsia" w:ascii="仿宋" w:hAnsi="仿宋" w:eastAsia="仿宋"/>
          <w:color w:val="auto"/>
          <w:sz w:val="28"/>
          <w:szCs w:val="28"/>
          <w:highlight w:val="none"/>
        </w:rPr>
        <w:t xml:space="preserve">30.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30.l 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30.2 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32.履约保证金</w:t>
      </w:r>
      <w:r>
        <w:rPr>
          <w:rFonts w:hint="eastAsia" w:ascii="仿宋" w:hAnsi="仿宋" w:eastAsia="仿宋"/>
          <w:b/>
          <w:bCs/>
          <w:color w:val="auto"/>
          <w:sz w:val="28"/>
          <w:szCs w:val="28"/>
          <w:highlight w:val="none"/>
          <w:lang w:eastAsia="zh-CN"/>
        </w:rPr>
        <w:t xml:space="preserve">（本项目不收取）</w:t>
      </w:r>
      <w:r/>
    </w:p>
    <w:p>
      <w:pPr>
        <w:pStyle w:val="910"/>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32.1乙方交纳人民币为中标金额的</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作为本合同的履约保证金。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32.5如乙方未能履行合同规定的义务，甲方有权从履约保证金中取得补偿。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32.7履约保证金在合同约定期间内不予退还或者应完全有效，履约保证金在项目验收合格后无息退还给乙方。</w:t>
      </w:r>
      <w:bookmarkEnd w:id="35"/>
      <w:r/>
      <w:bookmarkEnd w:id="36"/>
      <w:r/>
      <w:bookmarkEnd w:id="37"/>
      <w:r/>
      <w:r/>
    </w:p>
    <w:p>
      <w:pPr>
        <w:ind w:firstLine="321"/>
        <w:spacing w:line="520" w:lineRule="exact"/>
        <w:rPr>
          <w:rFonts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 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33.1.1 </w:t>
      </w:r>
      <w:r>
        <w:rPr>
          <w:rFonts w:hint="eastAsia" w:ascii="仿宋" w:hAnsi="仿宋" w:eastAsia="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33.1.2 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 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 节能、环保政策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34.2 节能产品（本项目不涉及）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34.3 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家具</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34.4 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26"/>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 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,在供货、安装过程中能到做到低碳物流、环保节约、提高资源利用率；涉及设备运维参考《绿色数据中心政府采购需求标准（试行）》（财库【2023】7号文）执行。</w:t>
      </w:r>
      <w:r/>
    </w:p>
    <w:p>
      <w:pPr>
        <w:pStyle w:val="926"/>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 履约资金扶持政策</w:t>
      </w:r>
      <w:r/>
    </w:p>
    <w:p>
      <w:pPr>
        <w:pStyle w:val="926"/>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926"/>
        <w:ind w:left="0" w:firstLine="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.采购本国产品的支持政策</w:t>
      </w:r>
      <w:r/>
    </w:p>
    <w:p>
      <w:pPr>
        <w:pStyle w:val="92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92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 当采购项目或者采购包中含有多种产品，</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需在“第六章 投标文件格式”的“投标报价明细表”中填写比例数值），依法对该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92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需按照招标文件的要求提供《关于符合本国产品标准的声明函》（以下简称《声明函》，详见第</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章“示范格式</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”），如不提供将不享受本国产品价格评审优惠。</w:t>
      </w:r>
      <w:r/>
    </w:p>
    <w:p>
      <w:pPr>
        <w:pStyle w:val="92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926"/>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 评标过程中，如发现</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提供的相关产品视为不符合本国产品标准。</w:t>
      </w:r>
      <w:r/>
    </w:p>
    <w:p>
      <w:pPr>
        <w:pStyle w:val="926"/>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highlight w:val="none"/>
        </w:rPr>
        <w:t xml:space="preserve">四、具体标准:</w:t>
      </w:r>
      <w:r/>
    </w:p>
    <w:p>
      <w:pPr>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30</w:t>
      </w:r>
      <w:r>
        <w:rPr>
          <w:rFonts w:hint="eastAsia" w:ascii="仿宋" w:hAnsi="仿宋" w:eastAsia="仿宋"/>
          <w:sz w:val="28"/>
          <w:highlight w:val="none"/>
        </w:rPr>
        <w:t xml:space="preserve">分</w:t>
      </w:r>
      <w:r/>
    </w:p>
    <w:p>
      <w:pPr>
        <w:pStyle w:val="988"/>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88"/>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投标报价得分＝（评标基准价/投标报价）×30分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2、政策导向:</w:t>
      </w:r>
      <w:r>
        <w:rPr>
          <w:rFonts w:hint="eastAsia" w:ascii="仿宋" w:hAnsi="仿宋" w:eastAsia="仿宋"/>
          <w:sz w:val="28"/>
          <w:szCs w:val="28"/>
          <w:lang w:val="en-US" w:eastAsia="zh-CN"/>
        </w:rPr>
        <w:t xml:space="preserve">4.5</w:t>
      </w:r>
      <w:r>
        <w:rPr>
          <w:rFonts w:hint="eastAsia" w:ascii="仿宋" w:hAnsi="仿宋" w:eastAsia="仿宋"/>
          <w:sz w:val="28"/>
          <w:szCs w:val="28"/>
        </w:rPr>
        <w:t xml:space="preserve">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投标产品</w:t>
      </w:r>
      <w:r>
        <w:rPr>
          <w:rFonts w:hint="eastAsia" w:ascii="仿宋" w:hAnsi="仿宋" w:eastAsia="仿宋"/>
          <w:sz w:val="28"/>
          <w:szCs w:val="28"/>
          <w:lang w:eastAsia="zh-CN"/>
        </w:rPr>
        <w:t xml:space="preserve">（值班室床、值班室衣柜、值班室写字柜、值班室软包椅子、学生宿舍晾衣架、学生宿舍盆架、自习室桌、自习室椅、</w:t>
      </w:r>
      <w:r>
        <w:rPr>
          <w:rFonts w:hint="eastAsia" w:ascii="仿宋" w:hAnsi="仿宋" w:eastAsia="仿宋"/>
          <w:sz w:val="28"/>
          <w:szCs w:val="28"/>
          <w:lang w:val="en-US" w:eastAsia="zh-CN"/>
        </w:rPr>
        <w:t xml:space="preserve">学生</w:t>
      </w:r>
      <w:r>
        <w:rPr>
          <w:rFonts w:hint="eastAsia" w:ascii="仿宋" w:hAnsi="仿宋" w:eastAsia="仿宋"/>
          <w:sz w:val="28"/>
          <w:szCs w:val="28"/>
          <w:lang w:eastAsia="zh-CN"/>
        </w:rPr>
        <w:t xml:space="preserve">床）</w:t>
      </w:r>
      <w:r>
        <w:rPr>
          <w:rFonts w:hint="eastAsia" w:ascii="仿宋" w:hAnsi="仿宋" w:eastAsia="仿宋"/>
          <w:sz w:val="28"/>
          <w:szCs w:val="28"/>
        </w:rPr>
        <w:t xml:space="preserve">在财政部、生态环境部公布的</w:t>
      </w:r>
      <w:r>
        <w:rPr>
          <w:rFonts w:ascii="仿宋" w:hAnsi="仿宋" w:eastAsia="仿宋"/>
          <w:sz w:val="28"/>
          <w:szCs w:val="28"/>
        </w:rPr>
        <w:t xml:space="preserve">“</w:t>
      </w:r>
      <w:r>
        <w:rPr>
          <w:rFonts w:hint="eastAsia" w:ascii="仿宋" w:hAnsi="仿宋" w:eastAsia="仿宋"/>
          <w:sz w:val="28"/>
          <w:szCs w:val="28"/>
        </w:rPr>
        <w:t xml:space="preserve">环境标志产品政府采购品目清单</w:t>
      </w:r>
      <w:r>
        <w:rPr>
          <w:rFonts w:ascii="仿宋" w:hAnsi="仿宋" w:eastAsia="仿宋"/>
          <w:sz w:val="28"/>
          <w:szCs w:val="28"/>
        </w:rPr>
        <w:t xml:space="preserve">”</w:t>
      </w:r>
      <w:r>
        <w:rPr>
          <w:rFonts w:hint="eastAsia" w:ascii="仿宋" w:hAnsi="仿宋" w:eastAsia="仿宋"/>
          <w:sz w:val="28"/>
          <w:szCs w:val="28"/>
        </w:rPr>
        <w:t xml:space="preserve">内，且提供国家市场监督管理局确定的列入</w:t>
      </w:r>
      <w:r>
        <w:rPr>
          <w:rFonts w:ascii="仿宋" w:hAnsi="仿宋" w:eastAsia="仿宋"/>
          <w:sz w:val="28"/>
          <w:szCs w:val="28"/>
        </w:rPr>
        <w:t xml:space="preserve">“</w:t>
      </w:r>
      <w:r>
        <w:rPr>
          <w:rFonts w:hint="eastAsia" w:ascii="仿宋" w:hAnsi="仿宋" w:eastAsia="仿宋"/>
          <w:sz w:val="28"/>
          <w:szCs w:val="28"/>
        </w:rPr>
        <w:t xml:space="preserve">参与实施政府采购环境标志产品认证机构名录</w:t>
      </w:r>
      <w:r>
        <w:rPr>
          <w:rFonts w:ascii="仿宋" w:hAnsi="仿宋" w:eastAsia="仿宋"/>
          <w:sz w:val="28"/>
          <w:szCs w:val="28"/>
        </w:rPr>
        <w:t xml:space="preserve">”</w:t>
      </w:r>
      <w:r>
        <w:rPr>
          <w:rFonts w:hint="eastAsia" w:ascii="仿宋" w:hAnsi="仿宋" w:eastAsia="仿宋"/>
          <w:sz w:val="28"/>
          <w:szCs w:val="28"/>
        </w:rPr>
        <w:t xml:space="preserve">内的认证机构出具的、有效期内的该产品环境标志产品认证证书电子件的</w:t>
      </w:r>
      <w:r>
        <w:rPr>
          <w:rFonts w:hint="eastAsia" w:ascii="仿宋" w:hAnsi="仿宋" w:eastAsia="仿宋"/>
          <w:sz w:val="28"/>
          <w:szCs w:val="28"/>
          <w:lang w:val="en-US" w:eastAsia="zh-CN"/>
        </w:rPr>
        <w:t xml:space="preserve">有一个得0.5分，本项共4.5</w:t>
      </w:r>
      <w:r>
        <w:rPr>
          <w:rFonts w:hint="eastAsia" w:ascii="仿宋" w:hAnsi="仿宋" w:eastAsia="仿宋"/>
          <w:sz w:val="28"/>
          <w:szCs w:val="28"/>
        </w:rPr>
        <w:t xml:space="preserve">分，没有不得分。</w:t>
      </w:r>
      <w:r>
        <w:rPr>
          <w:rFonts w:hint="eastAsia" w:ascii="仿宋" w:hAnsi="仿宋" w:eastAsia="仿宋"/>
          <w:b/>
          <w:bCs/>
          <w:sz w:val="28"/>
          <w:szCs w:val="28"/>
          <w:highlight w:val="none"/>
        </w:rPr>
        <w:t xml:space="preserve">（注：须在投标文件中提供证书扫描件或国家认监委官网查询截图并加盖投标单位公章或电子签章，未提供不得分）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3、技术部分:</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（1）投标人所投产品技术参数与招标文件第五章</w:t>
      </w:r>
      <w:r>
        <w:rPr>
          <w:rFonts w:hint="eastAsia" w:ascii="仿宋" w:hAnsi="仿宋" w:eastAsia="仿宋"/>
          <w:sz w:val="28"/>
          <w:szCs w:val="28"/>
          <w:lang w:eastAsia="zh-CN"/>
        </w:rPr>
        <w:t xml:space="preserve">“</w:t>
      </w:r>
      <w:r>
        <w:rPr>
          <w:rFonts w:hint="eastAsia" w:ascii="仿宋" w:hAnsi="仿宋" w:eastAsia="仿宋"/>
          <w:sz w:val="28"/>
          <w:szCs w:val="28"/>
        </w:rPr>
        <w:t xml:space="preserve">一、采购清单及技术参数要求”中标注“▲”技术参数要求相比较，以1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分为基数，每有一项负偏离扣2分，扣完为止。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（2）投标人所投产品技术参数与招标文件第五章</w:t>
      </w:r>
      <w:r>
        <w:rPr>
          <w:rFonts w:hint="eastAsia" w:ascii="仿宋" w:hAnsi="仿宋" w:eastAsia="仿宋"/>
          <w:sz w:val="28"/>
          <w:szCs w:val="28"/>
          <w:lang w:eastAsia="zh-CN"/>
        </w:rPr>
        <w:t xml:space="preserve">“</w:t>
      </w:r>
      <w:r>
        <w:rPr>
          <w:rFonts w:hint="eastAsia" w:ascii="仿宋" w:hAnsi="仿宋" w:eastAsia="仿宋"/>
          <w:sz w:val="28"/>
          <w:szCs w:val="28"/>
        </w:rPr>
        <w:t xml:space="preserve">一、采购清单及技术参数要求”中未标注“▲”技术参数要求相比较，以1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分为基数，每有一项负偏离扣</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分，扣完为止。</w:t>
      </w:r>
      <w:r/>
    </w:p>
    <w:p>
      <w:pPr>
        <w:ind w:firstLine="495"/>
        <w:spacing w:line="520" w:lineRule="exact"/>
        <w:rPr>
          <w:rFonts w:hint="eastAsia" w:ascii="仿宋" w:hAnsi="仿宋" w:eastAsia="仿宋" w:cs="仿宋"/>
          <w:color w:val="000000"/>
          <w:sz w:val="28"/>
          <w:szCs w:val="28"/>
          <w:highlight w:val="none"/>
        </w:rPr>
      </w:pPr>
      <w:r>
        <w:rPr>
          <w:rFonts w:hint="eastAsia" w:ascii="仿宋" w:hAnsi="仿宋" w:eastAsia="仿宋" w:cs="Times New Roman"/>
          <w:sz w:val="28"/>
          <w:lang w:val="en-US" w:eastAsia="zh-CN"/>
        </w:rPr>
        <w:t xml:space="preserve">4</w:t>
      </w:r>
      <w:r>
        <w:rPr>
          <w:rFonts w:hint="eastAsia" w:ascii="仿宋" w:hAnsi="仿宋" w:eastAsia="仿宋" w:cs="Times New Roman"/>
          <w:sz w:val="28"/>
        </w:rPr>
        <w:t xml:space="preserve">、</w:t>
      </w:r>
      <w:r>
        <w:rPr>
          <w:rFonts w:hint="eastAsia" w:ascii="仿宋" w:hAnsi="仿宋" w:eastAsia="仿宋" w:cs="仿宋"/>
          <w:color w:val="000000"/>
          <w:sz w:val="28"/>
          <w:szCs w:val="28"/>
          <w:highlight w:val="none"/>
        </w:rPr>
        <w:t xml:space="preserve">视频演示分:1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sz w:val="28"/>
          <w:szCs w:val="28"/>
        </w:rPr>
        <w:t xml:space="preserve">投标人所提供的</w:t>
      </w:r>
      <w:r>
        <w:rPr>
          <w:rFonts w:hint="eastAsia" w:ascii="仿宋" w:hAnsi="仿宋" w:eastAsia="仿宋"/>
          <w:sz w:val="28"/>
          <w:szCs w:val="28"/>
          <w:lang w:val="en-US" w:eastAsia="zh-CN"/>
        </w:rPr>
        <w:t xml:space="preserve">学生</w:t>
      </w:r>
      <w:r>
        <w:rPr>
          <w:rFonts w:hint="eastAsia" w:ascii="仿宋" w:hAnsi="仿宋" w:eastAsia="仿宋" w:cs="仿宋"/>
          <w:color w:val="000000"/>
          <w:sz w:val="28"/>
          <w:szCs w:val="28"/>
          <w:highlight w:val="none"/>
        </w:rPr>
        <w:t xml:space="preserve">床产品</w:t>
      </w:r>
      <w:r>
        <w:rPr>
          <w:rFonts w:hint="eastAsia" w:ascii="仿宋" w:hAnsi="仿宋" w:eastAsia="仿宋"/>
          <w:sz w:val="28"/>
          <w:szCs w:val="28"/>
        </w:rPr>
        <w:t xml:space="preserve">演示视频需能够逐一展示下列各个功能项，以便评委在评分中进行打分，演示部分提供演示视频，</w:t>
      </w:r>
      <w:r>
        <w:rPr>
          <w:rFonts w:hint="eastAsia" w:ascii="仿宋" w:hAnsi="仿宋" w:eastAsia="仿宋"/>
          <w:sz w:val="28"/>
          <w:szCs w:val="28"/>
          <w:lang w:val="en-US" w:eastAsia="zh-CN"/>
        </w:rPr>
        <w:t xml:space="preserve">需是</w:t>
      </w:r>
      <w:r>
        <w:rPr>
          <w:rFonts w:hint="eastAsia" w:ascii="仿宋" w:hAnsi="仿宋" w:eastAsia="仿宋"/>
          <w:sz w:val="28"/>
          <w:szCs w:val="28"/>
        </w:rPr>
        <w:t xml:space="preserve">产品实际操作或实际操作视频附同步解说。</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1.结构规格：</w:t>
      </w:r>
      <w:r/>
    </w:p>
    <w:p>
      <w:pPr>
        <w:ind w:firstLine="560"/>
        <w:spacing w:line="52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（1）床立柱规格：≥</w:t>
      </w:r>
      <w:r>
        <w:rPr>
          <w:rFonts w:hint="eastAsia" w:ascii="仿宋" w:hAnsi="仿宋" w:eastAsia="仿宋" w:cs="仿宋"/>
          <w:color w:val="000000"/>
          <w:sz w:val="28"/>
          <w:szCs w:val="28"/>
          <w:highlight w:val="none"/>
          <w:lang w:val="en-US" w:eastAsia="zh-CN"/>
        </w:rPr>
        <w:t xml:space="preserve">86</w:t>
      </w:r>
      <w:r>
        <w:rPr>
          <w:rFonts w:hint="eastAsia" w:ascii="仿宋" w:hAnsi="仿宋" w:eastAsia="仿宋" w:cs="仿宋"/>
          <w:color w:val="000000"/>
          <w:sz w:val="28"/>
          <w:szCs w:val="28"/>
          <w:highlight w:val="none"/>
        </w:rPr>
        <w:t xml:space="preserve">mm*8</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mm、裸材壁厚≥1.2mm（卷尺或卡尺实测读数入镜）；</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（2）床横梁规格：≥9</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mm*</w:t>
      </w: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mm、裸材壁厚≥1.2mm（卷尺或卡尺实测读数入镜）；</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（3）床中立柱规格：≥</w:t>
      </w:r>
      <w:r>
        <w:rPr>
          <w:rFonts w:hint="eastAsia" w:ascii="仿宋" w:hAnsi="仿宋" w:eastAsia="仿宋" w:cs="仿宋"/>
          <w:color w:val="000000"/>
          <w:sz w:val="28"/>
          <w:szCs w:val="28"/>
          <w:highlight w:val="none"/>
          <w:lang w:val="en-US" w:eastAsia="zh-CN"/>
        </w:rPr>
        <w:t xml:space="preserve">78</w:t>
      </w:r>
      <w:r>
        <w:rPr>
          <w:rFonts w:hint="eastAsia" w:ascii="仿宋" w:hAnsi="仿宋" w:eastAsia="仿宋" w:cs="仿宋"/>
          <w:color w:val="000000"/>
          <w:sz w:val="28"/>
          <w:szCs w:val="28"/>
          <w:highlight w:val="none"/>
        </w:rPr>
        <w:t xml:space="preserve">mm*</w:t>
      </w:r>
      <w:r>
        <w:rPr>
          <w:rFonts w:hint="eastAsia" w:ascii="仿宋" w:hAnsi="仿宋" w:eastAsia="仿宋" w:cs="仿宋"/>
          <w:color w:val="000000"/>
          <w:sz w:val="28"/>
          <w:szCs w:val="28"/>
          <w:highlight w:val="none"/>
          <w:lang w:val="en-US" w:eastAsia="zh-CN"/>
        </w:rPr>
        <w:t xml:space="preserve">56.5</w:t>
      </w:r>
      <w:r>
        <w:rPr>
          <w:rFonts w:hint="eastAsia" w:ascii="仿宋" w:hAnsi="仿宋" w:eastAsia="仿宋" w:cs="仿宋"/>
          <w:color w:val="000000"/>
          <w:sz w:val="28"/>
          <w:szCs w:val="28"/>
          <w:highlight w:val="none"/>
        </w:rPr>
        <w:t xml:space="preserve">mm、裸材壁厚≥1.2mm（卷尺或卡尺实测读数入镜）；</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（4）床</w:t>
      </w:r>
      <w:r>
        <w:rPr>
          <w:rFonts w:hint="eastAsia" w:ascii="仿宋" w:hAnsi="仿宋" w:eastAsia="仿宋" w:cs="仿宋"/>
          <w:color w:val="000000"/>
          <w:sz w:val="28"/>
          <w:szCs w:val="28"/>
          <w:highlight w:val="none"/>
          <w:lang w:val="en-US" w:eastAsia="zh-CN"/>
        </w:rPr>
        <w:t xml:space="preserve">头</w:t>
      </w:r>
      <w:r>
        <w:rPr>
          <w:rFonts w:hint="eastAsia" w:ascii="仿宋" w:hAnsi="仿宋" w:eastAsia="仿宋" w:cs="仿宋"/>
          <w:color w:val="000000"/>
          <w:sz w:val="28"/>
          <w:szCs w:val="28"/>
          <w:highlight w:val="none"/>
        </w:rPr>
        <w:t xml:space="preserve">护栏规格：横管采用≥25mm*25mm*1.0mm的方管，竖管采用≥20mm*20mm*1.0mm的方管（卷尺或卡尺实测读数入镜）；</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（5）踏板规格：≥</w:t>
      </w:r>
      <w:r>
        <w:rPr>
          <w:rFonts w:hint="eastAsia" w:ascii="仿宋" w:hAnsi="仿宋" w:eastAsia="仿宋" w:cs="仿宋"/>
          <w:color w:val="000000"/>
          <w:sz w:val="28"/>
          <w:szCs w:val="28"/>
          <w:highlight w:val="none"/>
          <w:lang w:val="en-US" w:eastAsia="zh-CN"/>
        </w:rPr>
        <w:t xml:space="preserve">330</w:t>
      </w:r>
      <w:r>
        <w:rPr>
          <w:rFonts w:hint="eastAsia" w:ascii="仿宋" w:hAnsi="仿宋" w:eastAsia="仿宋" w:cs="仿宋"/>
          <w:color w:val="000000"/>
          <w:sz w:val="28"/>
          <w:szCs w:val="28"/>
          <w:highlight w:val="none"/>
        </w:rPr>
        <w:t xml:space="preserve">mm*1</w:t>
      </w:r>
      <w:r>
        <w:rPr>
          <w:rFonts w:hint="eastAsia" w:ascii="仿宋" w:hAnsi="仿宋" w:eastAsia="仿宋" w:cs="仿宋"/>
          <w:color w:val="000000"/>
          <w:sz w:val="28"/>
          <w:szCs w:val="28"/>
          <w:highlight w:val="none"/>
          <w:lang w:val="en-US" w:eastAsia="zh-CN"/>
        </w:rPr>
        <w:t xml:space="preserve">00</w:t>
      </w:r>
      <w:r>
        <w:rPr>
          <w:rFonts w:hint="eastAsia" w:ascii="仿宋" w:hAnsi="仿宋" w:eastAsia="仿宋" w:cs="仿宋"/>
          <w:color w:val="000000"/>
          <w:sz w:val="28"/>
          <w:szCs w:val="28"/>
          <w:highlight w:val="none"/>
        </w:rPr>
        <w:t xml:space="preserve">mm</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裸材壁厚≥1.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mm（卷尺或卡尺实测读数入镜）；</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（6）承重与稳定：床架整体静载≥200kg，无明显晃动、变形、异响。</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（7）安全细节：上铺护栏高度、防坠落设计；所有金属件无毛刺、圆角处理；床梯防滑、承重。</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（8）工艺与涂层：焊接饱满无气孔；涂层均匀、无露底/流挂，耐刮擦。</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b/>
          <w:bCs/>
          <w:sz w:val="28"/>
          <w:szCs w:val="28"/>
        </w:rPr>
        <w:t xml:space="preserve">本项内容需演示，全部演示成功得</w:t>
      </w: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分，演示缺项、漏项或演示功能不全不得分。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b/>
          <w:bCs/>
          <w:sz w:val="28"/>
          <w:szCs w:val="28"/>
        </w:rPr>
        <w:t xml:space="preserve">注：投标人需按照招标文件规定的演示内容制作演示视频文件，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w:t>
      </w:r>
      <w:r/>
    </w:p>
    <w:p>
      <w:pPr>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、商务部分:</w:t>
      </w:r>
      <w:r>
        <w:rPr>
          <w:rFonts w:hint="eastAsia" w:ascii="仿宋" w:hAnsi="仿宋" w:eastAsia="仿宋" w:cs="仿宋"/>
          <w:color w:val="000000"/>
          <w:sz w:val="28"/>
          <w:szCs w:val="28"/>
          <w:highlight w:val="none"/>
          <w:lang w:val="en-US" w:eastAsia="zh-CN"/>
        </w:rPr>
        <w:t xml:space="preserve">7.5</w:t>
      </w:r>
      <w:r>
        <w:rPr>
          <w:rFonts w:hint="eastAsia" w:ascii="仿宋" w:hAnsi="仿宋" w:eastAsia="仿宋" w:cs="仿宋"/>
          <w:color w:val="000000"/>
          <w:sz w:val="28"/>
          <w:szCs w:val="28"/>
          <w:highlight w:val="none"/>
          <w:lang w:eastAsia="zh-CN"/>
        </w:rPr>
        <w:t xml:space="preserve">分</w:t>
      </w:r>
      <w:r/>
    </w:p>
    <w:p>
      <w:pPr>
        <w:ind w:firstLine="560"/>
        <w:spacing w:line="520" w:lineRule="exact"/>
        <w:rPr>
          <w:rFonts w:hint="eastAsia" w:ascii="仿宋" w:hAnsi="仿宋" w:eastAsia="仿宋"/>
          <w:sz w:val="28"/>
          <w:szCs w:val="28"/>
        </w:rPr>
      </w:pPr>
      <w:r>
        <w:rPr>
          <w:rFonts w:hint="eastAsia" w:ascii="仿宋" w:hAnsi="仿宋" w:eastAsia="仿宋" w:cs="仿宋_GB2312"/>
          <w:sz w:val="28"/>
          <w:szCs w:val="28"/>
          <w:highlight w:val="none"/>
          <w:lang w:val="en-US" w:eastAsia="zh-CN" w:bidi="ar-SA"/>
        </w:rPr>
        <w:t xml:space="preserve">（1）</w:t>
      </w:r>
      <w:r>
        <w:rPr>
          <w:rFonts w:hint="eastAsia" w:ascii="仿宋" w:hAnsi="仿宋" w:eastAsia="仿宋"/>
          <w:sz w:val="28"/>
          <w:szCs w:val="28"/>
        </w:rPr>
        <w:t xml:space="preserve">投标人或投标人所投产品生产厂商具有有效期内的ISO9001质量管理体系认证、ISO14001环境管理体系认证、ISO45001职业健康安全管理体系认证证书的，每个证书得</w:t>
      </w:r>
      <w:r>
        <w:rPr>
          <w:rFonts w:hint="eastAsia" w:ascii="仿宋" w:hAnsi="仿宋" w:eastAsia="仿宋"/>
          <w:sz w:val="28"/>
          <w:szCs w:val="28"/>
          <w:lang w:val="en-US" w:eastAsia="zh-CN"/>
        </w:rPr>
        <w:t xml:space="preserve">0.5</w:t>
      </w:r>
      <w:r>
        <w:rPr>
          <w:rFonts w:hint="eastAsia" w:ascii="仿宋" w:hAnsi="仿宋" w:eastAsia="仿宋"/>
          <w:sz w:val="28"/>
          <w:szCs w:val="28"/>
        </w:rPr>
        <w:t xml:space="preserve">分，最高得</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分。（注：须在投标文件中提供证书扫描件加盖投标单位公章或电子签章，未提供不得分）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highlight w:val="none"/>
          <w:lang w:val="en-US" w:eastAsia="zh-CN"/>
        </w:rPr>
        <w:t xml:space="preserve">（2）投标人自2022年6月1日（以合同签订时间为准）以来承接的类似项目，每提供一个得3分，本项最高得6分。（提供合同，如合同中不能反映具体内容的，还需提供用户出具的证明原件扫描件加盖投标人电子签章）</w:t>
      </w:r>
      <w:r/>
    </w:p>
    <w:p>
      <w:pPr>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、售后服务:</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zh-CN" w:eastAsia="zh-CN"/>
        </w:rPr>
        <w:t xml:space="preserve">（1）</w:t>
      </w:r>
      <w:r>
        <w:rPr>
          <w:rFonts w:hint="eastAsia" w:ascii="仿宋" w:hAnsi="仿宋" w:eastAsia="仿宋" w:cs="仿宋"/>
          <w:color w:val="000000"/>
          <w:sz w:val="28"/>
          <w:szCs w:val="28"/>
          <w:highlight w:val="none"/>
          <w:lang w:eastAsia="zh-CN"/>
        </w:rPr>
        <w:t xml:space="preserve">本项目免费质保期</w:t>
      </w:r>
      <w:r>
        <w:rPr>
          <w:rFonts w:hint="eastAsia" w:ascii="仿宋" w:hAnsi="仿宋" w:eastAsia="仿宋" w:cs="仿宋"/>
          <w:color w:val="000000"/>
          <w:sz w:val="28"/>
          <w:szCs w:val="28"/>
          <w:highlight w:val="none"/>
          <w:lang w:val="en-US" w:eastAsia="zh-CN"/>
        </w:rPr>
        <w:t xml:space="preserve">为三年，在此基础上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lang w:eastAsia="zh-CN"/>
        </w:rPr>
        <w:t xml:space="preserve">承诺</w:t>
      </w:r>
      <w:r>
        <w:rPr>
          <w:rFonts w:hint="eastAsia" w:ascii="仿宋" w:hAnsi="仿宋" w:eastAsia="仿宋" w:cs="仿宋"/>
          <w:color w:val="000000"/>
          <w:sz w:val="28"/>
          <w:szCs w:val="28"/>
          <w:highlight w:val="none"/>
          <w:lang w:val="en-US" w:eastAsia="zh-CN"/>
        </w:rPr>
        <w:t xml:space="preserve">免费</w:t>
      </w:r>
      <w:r>
        <w:rPr>
          <w:rFonts w:hint="eastAsia" w:ascii="仿宋" w:hAnsi="仿宋" w:eastAsia="仿宋" w:cs="仿宋"/>
          <w:color w:val="000000"/>
          <w:sz w:val="28"/>
          <w:szCs w:val="28"/>
          <w:highlight w:val="none"/>
          <w:lang w:eastAsia="zh-CN"/>
        </w:rPr>
        <w:t xml:space="preserve">质保期每增加</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年得 </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分，本项最多得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分，未提供不得分。</w:t>
      </w:r>
      <w:r>
        <w:rPr>
          <w:rFonts w:hint="eastAsia" w:ascii="仿宋" w:hAnsi="仿宋" w:eastAsia="仿宋" w:cs="仿宋"/>
          <w:sz w:val="28"/>
          <w:szCs w:val="28"/>
        </w:rPr>
        <w:t xml:space="preserve">(提供承</w:t>
      </w:r>
      <w:r>
        <w:rPr>
          <w:rFonts w:hint="eastAsia" w:ascii="仿宋" w:hAnsi="仿宋" w:eastAsia="仿宋" w:cs="仿宋"/>
          <w:sz w:val="28"/>
          <w:szCs w:val="28"/>
          <w:highlight w:val="none"/>
        </w:rPr>
        <w:t xml:space="preserve">诺书扫描件加盖投标人电子签章）</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7、方案部分：30分</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投标人参加投标时按照下列要求提供方案，评委会根据投标人提供的方案进行评分，未提供方案或者缺项或经三分之二评委认定方案存在重大偏离的整个方案部分均不得分。</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（1）项目具体实施方案至少包含：整体计划及部署、进度控制、组织流程及施工方案内容完整、详细的得8分，较完整、详细的得5分，方案基本完整、详细的得2分，不提供不得分。</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安装方案：提供安装、调试和验收作业流程、标准和程序，包括现场管理和协同，卸货及搬运措施，布局及排线措施，安装调试技术服务人员，安全文明施工方案合理性、可行性高的得8分，方案比较合理、可行性较高的得5分；方案基本合理、可行性较高的得2分，不提供不得分。</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应急措施：对项目实施的所有环节进行详细评估，并对在实施过程中可能影响交期、产品质量、安全、环境、现场秩序的环节提供可行的应急解决方案和处理措施方案合理性、可行性高的得7分，方案比较合理、可行性较高的得4分；方案基本合理、可行性较高的得1分，不提供不得分。</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（4）根据投标人的售后服务方案（针对该项目须有完善的售后服务体系）。包含：售后服务内容和流程、售后服务响应时间 、验收方案、备品备件等进行综合评分。</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方案清晰、合理、详细、全面、针对性强、可行性强得7分；方案比较清晰、合理、详细、全面得4分；方案基本满足文件要求得1分。</w:t>
      </w:r>
      <w:r/>
    </w:p>
    <w:p>
      <w:pPr>
        <w:ind w:firstLine="560"/>
        <w:spacing w:line="52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p>
      <w:pP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2891"/>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2891"/>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firstLine="2891"/>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8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87"/>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88"/>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87"/>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88"/>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87"/>
        <w:rPr>
          <w:rFonts w:hint="eastAsia"/>
        </w:rPr>
      </w:pPr>
      <w:r>
        <w:rPr>
          <w:rFonts w:hint="eastAsia"/>
        </w:rPr>
      </w:r>
      <w:r/>
    </w:p>
    <w:p>
      <w:pPr>
        <w:ind w:firstLine="2891"/>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7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7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78"/>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97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7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978"/>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978"/>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9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978"/>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9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9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p>
    <w:p>
      <w:pPr>
        <w:pStyle w:val="9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78"/>
        <w:ind w:firstLine="560"/>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sz w:val="28"/>
          <w:szCs w:val="28"/>
        </w:rPr>
        <w:t xml:space="preserve">六、履约保证金</w:t>
      </w:r>
      <w:r>
        <w:rPr>
          <w:rFonts w:hint="eastAsia" w:ascii="仿宋" w:hAnsi="仿宋" w:eastAsia="仿宋"/>
          <w:b/>
          <w:bCs/>
          <w:sz w:val="28"/>
          <w:szCs w:val="28"/>
          <w:lang w:val="en-US" w:eastAsia="zh-CN"/>
        </w:rPr>
        <w:t xml:space="preserve">(本项目无需履约保证金）</w:t>
      </w:r>
      <w:r/>
    </w:p>
    <w:p>
      <w:pPr>
        <w:pStyle w:val="9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p>
    <w:p>
      <w:pPr>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签定日期:                          签定日期:</w:t>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r>
      <w:r/>
    </w:p>
    <w:p>
      <w:pPr>
        <w:jc w:val="center"/>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69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69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69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69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9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7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97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910"/>
        <w:jc w:val="center"/>
        <w:spacing w:line="520" w:lineRule="exact"/>
        <w:rPr>
          <w:rFonts w:hAnsi="仿宋_GB2312" w:cs="仿宋_GB2312"/>
          <w:color w:val="auto"/>
          <w:sz w:val="28"/>
          <w:szCs w:val="28"/>
          <w:highlight w:val="none"/>
        </w:rPr>
      </w:pPr>
      <w:r>
        <w:rPr>
          <w:rFonts w:hint="eastAsia" w:ascii="仿宋" w:hAnsi="仿宋" w:eastAsia="仿宋"/>
          <w:b/>
          <w:bCs/>
          <w:color w:val="auto"/>
          <w:sz w:val="36"/>
          <w:szCs w:val="36"/>
          <w:highlight w:val="none"/>
        </w:rPr>
        <w:t xml:space="preserve">第五章  采购需求</w:t>
      </w:r>
      <w:r/>
    </w:p>
    <w:p>
      <w:pPr>
        <w:jc w:val="both"/>
        <w:spacing w:line="400" w:lineRule="exact"/>
        <w:rPr>
          <w:rFonts w:hint="eastAsia"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一、采购清单</w:t>
      </w:r>
      <w:r/>
    </w:p>
    <w:tbl>
      <w:tblPr>
        <w:tblStyle w:val="990"/>
        <w:tblW w:w="99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123"/>
        <w:gridCol w:w="1161"/>
        <w:gridCol w:w="6678"/>
      </w:tblGrid>
      <w:tr>
        <w:trPr>
          <w:jc w:val="center"/>
          <w:trHeight w:val="0"/>
          <w:tblHeader/>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b/>
                <w:sz w:val="24"/>
                <w:szCs w:val="24"/>
              </w:rPr>
            </w:pPr>
            <w:r>
              <w:rPr>
                <w:rFonts w:hint="eastAsia" w:ascii="仿宋" w:hAnsi="仿宋" w:eastAsia="仿宋" w:cs="仿宋"/>
                <w:b/>
                <w:spacing w:val="-11"/>
                <w:sz w:val="24"/>
                <w:szCs w:val="24"/>
              </w:rPr>
              <w:t xml:space="preserve">项目</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b/>
                <w:sz w:val="24"/>
                <w:szCs w:val="24"/>
              </w:rPr>
            </w:pPr>
            <w:r>
              <w:rPr>
                <w:rFonts w:hint="eastAsia" w:ascii="仿宋" w:hAnsi="仿宋" w:eastAsia="仿宋" w:cs="仿宋"/>
                <w:b/>
                <w:spacing w:val="11"/>
                <w:sz w:val="24"/>
                <w:szCs w:val="24"/>
              </w:rPr>
              <w:t xml:space="preserve">数量</w:t>
            </w:r>
            <w:r/>
          </w:p>
        </w:tc>
        <w:tc>
          <w:tcPr>
            <w:tcW w:w="6679" w:type="dxa"/>
            <w:vAlign w:val="center"/>
            <w:textDirection w:val="lrTb"/>
            <w:noWrap w:val="false"/>
          </w:tcPr>
          <w:p>
            <w:pPr>
              <w:ind w:left="0" w:right="0" w:firstLine="0"/>
              <w:jc w:val="center"/>
              <w:spacing w:before="143" w:line="240" w:lineRule="auto"/>
              <w:rPr>
                <w:rFonts w:hint="eastAsia" w:ascii="仿宋" w:hAnsi="仿宋" w:eastAsia="仿宋" w:cs="仿宋"/>
                <w:b/>
                <w:sz w:val="24"/>
                <w:szCs w:val="24"/>
              </w:rPr>
            </w:pPr>
            <w:r>
              <w:rPr>
                <w:rFonts w:hint="eastAsia" w:ascii="仿宋" w:hAnsi="仿宋" w:eastAsia="仿宋" w:cs="仿宋"/>
                <w:b/>
                <w:spacing w:val="13"/>
                <w:sz w:val="24"/>
                <w:szCs w:val="24"/>
              </w:rPr>
              <w:t xml:space="preserve">备注</w:t>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9"/>
                <w:sz w:val="24"/>
                <w:szCs w:val="24"/>
              </w:rPr>
              <w:t xml:space="preserve">学生床</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4"/>
                <w:sz w:val="24"/>
                <w:szCs w:val="24"/>
              </w:rPr>
              <w:t xml:space="preserve">640</w:t>
            </w:r>
            <w:r/>
          </w:p>
        </w:tc>
        <w:tc>
          <w:tcPr>
            <w:tcW w:w="6679"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2"/>
                <w:sz w:val="24"/>
                <w:szCs w:val="24"/>
              </w:rPr>
              <w:t xml:space="preserve">上床下桌，含椅子。</w:t>
            </w:r>
            <w:r/>
          </w:p>
          <w:p>
            <w:pPr>
              <w:ind w:left="0" w:right="0" w:firstLine="0"/>
              <w:jc w:val="center"/>
              <w:spacing w:before="17" w:line="240" w:lineRule="auto"/>
              <w:rPr>
                <w:rFonts w:hint="eastAsia" w:ascii="仿宋" w:hAnsi="仿宋" w:eastAsia="仿宋" w:cs="仿宋"/>
                <w:sz w:val="24"/>
                <w:szCs w:val="24"/>
              </w:rPr>
            </w:pPr>
            <w:r>
              <w:rPr>
                <w:rFonts w:hint="eastAsia" w:ascii="仿宋" w:hAnsi="仿宋" w:eastAsia="仿宋" w:cs="仿宋"/>
                <w:spacing w:val="3"/>
                <w:sz w:val="24"/>
                <w:szCs w:val="24"/>
              </w:rPr>
              <w:t xml:space="preserve">每房间4张床，其中2张2m长，2张1.9</w:t>
            </w:r>
            <w:r>
              <w:rPr>
                <w:rFonts w:hint="eastAsia" w:ascii="仿宋" w:hAnsi="仿宋" w:eastAsia="仿宋" w:cs="仿宋"/>
                <w:spacing w:val="2"/>
                <w:sz w:val="24"/>
                <w:szCs w:val="24"/>
              </w:rPr>
              <w:t xml:space="preserve">m长。</w:t>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7"/>
                <w:sz w:val="24"/>
                <w:szCs w:val="24"/>
              </w:rPr>
              <w:t xml:space="preserve">值班室床</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6"/>
                <w:sz w:val="24"/>
                <w:szCs w:val="24"/>
              </w:rPr>
              <w:t xml:space="preserve">36</w:t>
            </w:r>
            <w:r/>
          </w:p>
        </w:tc>
        <w:tc>
          <w:tcPr>
            <w:tcW w:w="6679"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8"/>
                <w:sz w:val="24"/>
                <w:szCs w:val="24"/>
              </w:rPr>
              <w:t xml:space="preserve">1.35*2 m含床垫(20</w:t>
            </w:r>
            <w:r>
              <w:rPr>
                <w:rFonts w:hint="eastAsia" w:ascii="仿宋" w:hAnsi="仿宋" w:eastAsia="仿宋" w:cs="仿宋"/>
                <w:sz w:val="24"/>
                <w:szCs w:val="24"/>
              </w:rPr>
              <w:t xml:space="preserve">cm</w:t>
            </w:r>
            <w:r>
              <w:rPr>
                <w:rFonts w:hint="eastAsia" w:ascii="仿宋" w:hAnsi="仿宋" w:eastAsia="仿宋" w:cs="仿宋"/>
                <w:spacing w:val="8"/>
                <w:sz w:val="24"/>
                <w:szCs w:val="24"/>
              </w:rPr>
              <w:t xml:space="preserve">)</w:t>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7"/>
                <w:sz w:val="24"/>
                <w:szCs w:val="24"/>
              </w:rPr>
              <w:t xml:space="preserve">值班室衣柜</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12"/>
                <w:sz w:val="24"/>
                <w:szCs w:val="24"/>
              </w:rPr>
              <w:t xml:space="preserve">18</w:t>
            </w:r>
            <w:r/>
          </w:p>
        </w:tc>
        <w:tc>
          <w:tcPr>
            <w:tcW w:w="6679"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3"/>
                <w:sz w:val="24"/>
                <w:szCs w:val="24"/>
              </w:rPr>
              <w:t xml:space="preserve">1.2*2.4m上层挂衣杆下层放被子</w:t>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值班室写字柜</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12"/>
                <w:sz w:val="24"/>
                <w:szCs w:val="24"/>
              </w:rPr>
              <w:t xml:space="preserve">18</w:t>
            </w:r>
            <w:r/>
          </w:p>
        </w:tc>
        <w:tc>
          <w:tcPr>
            <w:tcW w:w="6679" w:type="dxa"/>
            <w:vAlign w:val="center"/>
            <w:textDirection w:val="lrTb"/>
            <w:noWrap w:val="false"/>
          </w:tcPr>
          <w:p>
            <w:pPr>
              <w:ind w:left="0" w:right="0" w:firstLine="0"/>
              <w:jc w:val="center"/>
              <w:spacing w:before="143" w:line="240" w:lineRule="auto"/>
              <w:rPr>
                <w:rFonts w:hint="eastAsia" w:ascii="仿宋" w:hAnsi="仿宋" w:eastAsia="仿宋" w:cs="仿宋"/>
                <w:sz w:val="24"/>
                <w:szCs w:val="24"/>
                <w:lang w:val="en-US" w:eastAsia="zh-CN"/>
              </w:rPr>
            </w:pPr>
            <w:r>
              <w:rPr>
                <w:rFonts w:hint="eastAsia" w:ascii="仿宋" w:hAnsi="仿宋" w:eastAsia="仿宋" w:cs="仿宋"/>
                <w:spacing w:val="4"/>
                <w:sz w:val="24"/>
                <w:szCs w:val="24"/>
              </w:rPr>
              <w:t xml:space="preserve">长宽高1.4*0.6*0.75</w:t>
            </w:r>
            <w:r>
              <w:rPr>
                <w:rFonts w:hint="eastAsia" w:ascii="仿宋" w:hAnsi="仿宋" w:eastAsia="仿宋" w:cs="仿宋"/>
                <w:spacing w:val="4"/>
                <w:sz w:val="24"/>
                <w:szCs w:val="24"/>
                <w:lang w:val="en-US" w:eastAsia="zh-CN"/>
              </w:rPr>
              <w:t xml:space="preserve">m</w:t>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5"/>
                <w:sz w:val="24"/>
                <w:szCs w:val="24"/>
              </w:rPr>
              <w:t xml:space="preserve">值班室软包椅子</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12"/>
                <w:sz w:val="24"/>
                <w:szCs w:val="24"/>
              </w:rPr>
              <w:t xml:space="preserve">18</w:t>
            </w:r>
            <w:r/>
          </w:p>
        </w:tc>
        <w:tc>
          <w:tcPr>
            <w:tcW w:w="6679" w:type="dxa"/>
            <w:vAlign w:val="center"/>
            <w:textDirection w:val="lrTb"/>
            <w:noWrap w:val="false"/>
          </w:tcPr>
          <w:p>
            <w:pPr>
              <w:pStyle w:val="989"/>
              <w:ind w:left="0" w:right="0" w:firstLine="0"/>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5"/>
                <w:sz w:val="24"/>
                <w:szCs w:val="24"/>
              </w:rPr>
              <w:t xml:space="preserve">学生宿舍晾衣架</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11"/>
                <w:sz w:val="24"/>
                <w:szCs w:val="24"/>
              </w:rPr>
              <w:t xml:space="preserve">160</w:t>
            </w:r>
            <w:r/>
          </w:p>
        </w:tc>
        <w:tc>
          <w:tcPr>
            <w:tcW w:w="6679" w:type="dxa"/>
            <w:vAlign w:val="center"/>
            <w:textDirection w:val="lrTb"/>
            <w:noWrap w:val="false"/>
          </w:tcPr>
          <w:p>
            <w:pPr>
              <w:pStyle w:val="989"/>
              <w:ind w:left="0" w:right="0" w:firstLine="0"/>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6"/>
                <w:sz w:val="24"/>
                <w:szCs w:val="24"/>
              </w:rPr>
              <w:t xml:space="preserve">学生宿舍盆架</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11"/>
                <w:sz w:val="24"/>
                <w:szCs w:val="24"/>
              </w:rPr>
              <w:t xml:space="preserve">160</w:t>
            </w:r>
            <w:r/>
          </w:p>
        </w:tc>
        <w:tc>
          <w:tcPr>
            <w:tcW w:w="6679" w:type="dxa"/>
            <w:vAlign w:val="center"/>
            <w:textDirection w:val="lrTb"/>
            <w:noWrap w:val="false"/>
          </w:tcPr>
          <w:p>
            <w:pPr>
              <w:pStyle w:val="989"/>
              <w:ind w:left="0" w:right="0" w:firstLine="0"/>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8"/>
                <w:sz w:val="24"/>
                <w:szCs w:val="24"/>
              </w:rPr>
              <w:t xml:space="preserve">自习室桌</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11"/>
                <w:sz w:val="24"/>
                <w:szCs w:val="24"/>
              </w:rPr>
              <w:t xml:space="preserve">100</w:t>
            </w:r>
            <w:r/>
          </w:p>
        </w:tc>
        <w:tc>
          <w:tcPr>
            <w:tcW w:w="6679"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6"/>
                <w:sz w:val="24"/>
                <w:szCs w:val="24"/>
              </w:rPr>
              <w:t xml:space="preserve">桌为两人座</w:t>
            </w:r>
            <w:r/>
          </w:p>
        </w:tc>
      </w:tr>
      <w:tr>
        <w:trPr>
          <w:jc w:val="center"/>
          <w:trHeight w:val="0"/>
        </w:trPr>
        <w:tc>
          <w:tcPr>
            <w:tcW w:w="2123"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6"/>
                <w:sz w:val="24"/>
                <w:szCs w:val="24"/>
              </w:rPr>
              <w:t xml:space="preserve">自习室凳</w:t>
            </w:r>
            <w:r/>
          </w:p>
        </w:tc>
        <w:tc>
          <w:tcPr>
            <w:tcW w:w="1161" w:type="dxa"/>
            <w:vAlign w:val="center"/>
            <w:textDirection w:val="lrTb"/>
            <w:noWrap w:val="false"/>
          </w:tcPr>
          <w:p>
            <w:pPr>
              <w:ind w:left="0" w:right="0" w:firstLine="0"/>
              <w:jc w:val="center"/>
              <w:spacing w:before="143" w:line="240" w:lineRule="auto"/>
              <w:rPr>
                <w:rFonts w:hint="eastAsia" w:ascii="仿宋" w:hAnsi="仿宋" w:eastAsia="仿宋" w:cs="仿宋"/>
                <w:sz w:val="24"/>
                <w:szCs w:val="24"/>
              </w:rPr>
            </w:pPr>
            <w:r>
              <w:rPr>
                <w:rFonts w:hint="eastAsia" w:ascii="仿宋" w:hAnsi="仿宋" w:eastAsia="仿宋" w:cs="仿宋"/>
                <w:spacing w:val="-5"/>
                <w:sz w:val="24"/>
                <w:szCs w:val="24"/>
              </w:rPr>
              <w:t xml:space="preserve">200</w:t>
            </w:r>
            <w:r/>
          </w:p>
        </w:tc>
        <w:tc>
          <w:tcPr>
            <w:tcW w:w="6679" w:type="dxa"/>
            <w:vAlign w:val="center"/>
            <w:textDirection w:val="lrTb"/>
            <w:noWrap w:val="false"/>
          </w:tcPr>
          <w:p>
            <w:pPr>
              <w:pStyle w:val="989"/>
              <w:ind w:left="0" w:right="0" w:firstLine="0"/>
              <w:jc w:val="center"/>
              <w:rPr>
                <w:rFonts w:hint="eastAsia" w:ascii="仿宋" w:hAnsi="仿宋" w:eastAsia="仿宋" w:cs="仿宋"/>
                <w:sz w:val="24"/>
                <w:szCs w:val="24"/>
              </w:rPr>
            </w:pPr>
            <w:r>
              <w:rPr>
                <w:rFonts w:hint="eastAsia" w:ascii="仿宋" w:hAnsi="仿宋" w:eastAsia="仿宋" w:cs="仿宋"/>
                <w:sz w:val="24"/>
                <w:szCs w:val="24"/>
              </w:rPr>
            </w:r>
            <w:r/>
          </w:p>
        </w:tc>
      </w:tr>
    </w:tbl>
    <w:p>
      <w:pPr>
        <w:jc w:val="both"/>
        <w:spacing w:line="400" w:lineRule="exact"/>
        <w:rPr>
          <w:rFonts w:hint="default" w:ascii="仿宋" w:hAnsi="仿宋" w:eastAsia="仿宋" w:cs="Times New Roman"/>
          <w:bCs/>
          <w:sz w:val="28"/>
          <w:szCs w:val="28"/>
          <w:highlight w:val="yellow"/>
          <w:lang w:val="en-US" w:eastAsia="zh-CN" w:bidi="ar-SA"/>
        </w:rPr>
      </w:pPr>
      <w:r>
        <w:rPr>
          <w:rFonts w:hint="default" w:ascii="仿宋" w:hAnsi="仿宋" w:eastAsia="仿宋" w:cs="Times New Roman"/>
          <w:bCs/>
          <w:sz w:val="28"/>
          <w:szCs w:val="28"/>
          <w:highlight w:val="yellow"/>
          <w:lang w:val="en-US" w:eastAsia="zh-CN" w:bidi="ar-SA"/>
        </w:rPr>
      </w:r>
      <w:r/>
    </w:p>
    <w:p>
      <w:pPr>
        <w:jc w:val="both"/>
        <w:spacing w:line="52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二、技术参数（</w:t>
      </w:r>
      <w:r>
        <w:rPr>
          <w:rFonts w:hint="eastAsia" w:ascii="仿宋" w:hAnsi="仿宋" w:eastAsia="仿宋" w:cs="Times New Roman"/>
          <w:sz w:val="28"/>
          <w:szCs w:val="28"/>
          <w:highlight w:val="none"/>
          <w:lang w:val="en-US" w:eastAsia="zh-CN" w:bidi="ar-SA"/>
        </w:rPr>
        <w:t xml:space="preserve">参考图样）</w:t>
      </w:r>
      <w:r/>
    </w:p>
    <w:tbl>
      <w:tblPr>
        <w:tblStyle w:val="684"/>
        <w:tblW w:w="91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616"/>
        <w:gridCol w:w="5252"/>
        <w:gridCol w:w="265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参考图片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值班室床（含床垫）</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（一）单人床整体规格：≥长2000mm*宽1350mm*高400mm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1、原生实木打造，符合国家E0级板材标准,龙骨使用坚固多层板。不上油漆、不贴皮，纯实木结构，环保无异味.</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2.床架部件规格：</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（1）床立柱：≥60*80mm 实木制作，符合国家E0级板材标准,床腿均适配专用脚套，规格为≥ 88×68×60mm；脚套严格采用 PP 塑料一体注塑成型。</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（2）床横梁：≥30mm*120mm 实木制作,符合国家E0级板材标准</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（3）床头、床尾横梁采用≥30*60实木制作,符合国家E0级板材标准</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（4）实木床主体构件采用传统榫卯结构咬合连接，辅以螺栓、螺母五金紧固件紧固。</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 3、床板：</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（1）采用厚度≥14mm 的环保床板(杉木），符合国家E0级板材标准,下方加装不少于3根横拉条。</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（2）床板支撑：≥38*48mm 杉木制作,符合国家E0级板材标准,床板与床横梁连接处采用U型床托连接件固定。</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（二）床垫规格：≥长2000mm*宽1350mm*高200mm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（1）、内芯：采用天然山棕丝或椰棕丝制作；棕丝长度≥100mm。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（2）、面料：采用高密度、高透气性的针织棉布面料，耐磨耐脏。</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wp:posOffset>
                      </wp:positionH>
                      <wp:positionV relativeFrom="paragraph">
                        <wp:posOffset>1289050</wp:posOffset>
                      </wp:positionV>
                      <wp:extent cx="1438910" cy="1130300"/>
                      <wp:effectExtent l="0" t="0" r="8890" b="0"/>
                      <wp:wrapNone/>
                      <wp:docPr id="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2"/>
                              <a:stretch/>
                            </pic:blipFill>
                            <pic:spPr bwMode="auto">
                              <a:xfrm>
                                <a:off x="0" y="0"/>
                                <a:ext cx="1438910" cy="1130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4pt;mso-position-horizontal:absolute;mso-position-vertical-relative:text;margin-top:101.5pt;mso-position-vertical:absolute;width:113.3pt;height:89.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275590</wp:posOffset>
                      </wp:positionH>
                      <wp:positionV relativeFrom="paragraph">
                        <wp:posOffset>104775</wp:posOffset>
                      </wp:positionV>
                      <wp:extent cx="1115060" cy="1111885"/>
                      <wp:effectExtent l="0" t="0" r="2540" b="5715"/>
                      <wp:wrapNone/>
                      <wp:docPr id="3" name="图片_3"/>
                      <wp:cNvGraphicFramePr/>
                      <a:graphic xmlns:a="http://schemas.openxmlformats.org/drawingml/2006/main">
                        <a:graphicData uri="http://schemas.openxmlformats.org/drawingml/2006/picture">
                          <pic:pic xmlns:pic="http://schemas.openxmlformats.org/drawingml/2006/picture">
                            <pic:nvPicPr>
                              <pic:cNvPr id="3" name="图片_3"/>
                              <pic:cNvPicPr/>
                              <pic:nvPr/>
                            </pic:nvPicPr>
                            <pic:blipFill>
                              <a:blip r:embed="rId13"/>
                              <a:stretch/>
                            </pic:blipFill>
                            <pic:spPr bwMode="auto">
                              <a:xfrm>
                                <a:off x="0" y="0"/>
                                <a:ext cx="1115060" cy="1111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1.7pt;mso-position-horizontal:absolute;mso-position-vertical-relative:text;margin-top:8.2pt;mso-position-vertical:absolute;width:87.8pt;height:87.5pt;mso-wrap-distance-left:9.0pt;mso-wrap-distance-top:0.0pt;mso-wrap-distance-right:9.0pt;mso-wrap-distance-bottom:0.0pt;" stroked="f">
                      <v:path textboxrect="0,0,0,0"/>
                      <v:imagedata r:id="rId1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值班室衣柜</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衣柜柜整体规格：≥1200mm*600mm*2400mm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1、主材采用≥17mm厚实木多层板制作，符合国家E0级板材标准;背板和底板采用≥5mm实木多层板制作,符合国家E0级板材标准；板材具有抗冲击、耐老化、耐磨、防火、不变色等性能。四周PVC激光封边工艺处理。</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2.五金配件质量及工艺要求： </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（1）铰链：二段力，门扇任意位置定位，不反弹。</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（2）连接件：采用自攻型三合一连接件。</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（3）铝合金拉手：采用铝合金材质，表面细腻不刮手。</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243840</wp:posOffset>
                      </wp:positionH>
                      <wp:positionV relativeFrom="paragraph">
                        <wp:posOffset>28575</wp:posOffset>
                      </wp:positionV>
                      <wp:extent cx="1120140" cy="1398905"/>
                      <wp:effectExtent l="0" t="0" r="10160" b="10795"/>
                      <wp:wrapNone/>
                      <wp:docPr id="4" name="图片_2"/>
                      <wp:cNvGraphicFramePr/>
                      <a:graphic xmlns:a="http://schemas.openxmlformats.org/drawingml/2006/main">
                        <a:graphicData uri="http://schemas.openxmlformats.org/drawingml/2006/picture">
                          <pic:pic xmlns:pic="http://schemas.openxmlformats.org/drawingml/2006/picture">
                            <pic:nvPicPr>
                              <pic:cNvPr id="4" name="图片_2"/>
                              <pic:cNvPicPr/>
                              <pic:nvPr/>
                            </pic:nvPicPr>
                            <pic:blipFill>
                              <a:blip r:embed="rId14"/>
                              <a:stretch/>
                            </pic:blipFill>
                            <pic:spPr bwMode="auto">
                              <a:xfrm>
                                <a:off x="0" y="0"/>
                                <a:ext cx="1120140" cy="1398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9.2pt;mso-position-horizontal:absolute;mso-position-vertical-relative:text;margin-top:2.2pt;mso-position-vertical:absolute;width:88.2pt;height:110.1pt;mso-wrap-distance-left:9.0pt;mso-wrap-distance-top:0.0pt;mso-wrap-distance-right:9.0pt;mso-wrap-distance-bottom:0.0pt;" stroked="f">
                      <v:path textboxrect="0,0,0,0"/>
                      <v:imagedata r:id="rId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值班室写字柜</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书桌整体规格：≥1400mm*600mm*760mm、桌面板：规格≥1400mm*600mm*25mm，基材采用≥17mm厚多层板制作，符合国家E0级板材标准；背板基材采用与柜体同色≥5mm 厚双饰面环保免漆多层板制作，符合国家E0级板材标准。四周PVC激光封边工艺处理。</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253365</wp:posOffset>
                      </wp:positionH>
                      <wp:positionV relativeFrom="paragraph">
                        <wp:posOffset>15240</wp:posOffset>
                      </wp:positionV>
                      <wp:extent cx="1062990" cy="589915"/>
                      <wp:effectExtent l="0" t="0" r="3810" b="6985"/>
                      <wp:wrapNone/>
                      <wp:docPr id="5" name="图片_1_SpCnt_1"/>
                      <wp:cNvGraphicFramePr/>
                      <a:graphic xmlns:a="http://schemas.openxmlformats.org/drawingml/2006/main">
                        <a:graphicData uri="http://schemas.openxmlformats.org/drawingml/2006/picture">
                          <pic:pic xmlns:pic="http://schemas.openxmlformats.org/drawingml/2006/picture">
                            <pic:nvPicPr>
                              <pic:cNvPr id="5" name="图片_1_SpCnt_1"/>
                              <pic:cNvPicPr/>
                              <pic:nvPr/>
                            </pic:nvPicPr>
                            <pic:blipFill>
                              <a:blip r:embed="rId15"/>
                              <a:stretch/>
                            </pic:blipFill>
                            <pic:spPr bwMode="auto">
                              <a:xfrm>
                                <a:off x="0" y="0"/>
                                <a:ext cx="1062990"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9pt;mso-position-horizontal:absolute;mso-position-vertical-relative:text;margin-top:1.2pt;mso-position-vertical:absolute;width:83.7pt;height:46.4pt;mso-wrap-distance-left:9.0pt;mso-wrap-distance-top:0.0pt;mso-wrap-distance-right:9.0pt;mso-wrap-distance-bottom:0.0pt;" stroked="f">
                      <v:path textboxrect="0,0,0,0"/>
                      <v:imagedata r:id="rId1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值班室软包椅子</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1、面料：双层3D网布结构。</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2、海绵：采用高弹阻燃海绵，回弹性能好，抗变形能力强，根椐人体工程学原理设计，坐感舒适。</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3、椅脚：由电镀不锈钢钢管压弯而成的金属脚架,钢管壁加厚。</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4、PP扶手：采用环保PP扶手。</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5、环保喷胶：采用环保喷胶。</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139065</wp:posOffset>
                      </wp:positionH>
                      <wp:positionV relativeFrom="paragraph">
                        <wp:posOffset>-22225</wp:posOffset>
                      </wp:positionV>
                      <wp:extent cx="1092835" cy="949325"/>
                      <wp:effectExtent l="0" t="0" r="12065" b="3175"/>
                      <wp:wrapNone/>
                      <wp:docPr id="6" name="图片_2_SpCnt_1"/>
                      <wp:cNvGraphicFramePr/>
                      <a:graphic xmlns:a="http://schemas.openxmlformats.org/drawingml/2006/main">
                        <a:graphicData uri="http://schemas.openxmlformats.org/drawingml/2006/picture">
                          <pic:pic xmlns:pic="http://schemas.openxmlformats.org/drawingml/2006/picture">
                            <pic:nvPicPr>
                              <pic:cNvPr id="6" name="图片_2_SpCnt_1"/>
                              <pic:cNvPicPr/>
                              <pic:nvPr/>
                            </pic:nvPicPr>
                            <pic:blipFill>
                              <a:blip r:embed="rId16"/>
                              <a:stretch/>
                            </pic:blipFill>
                            <pic:spPr bwMode="auto">
                              <a:xfrm>
                                <a:off x="0" y="0"/>
                                <a:ext cx="1092835" cy="949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9pt;mso-position-horizontal:absolute;mso-position-vertical-relative:text;margin-top:-1.8pt;mso-position-vertical:absolute;width:86.0pt;height:74.8pt;mso-wrap-distance-left:9.0pt;mso-wrap-distance-top:0.0pt;mso-wrap-distance-right:9.0pt;mso-wrap-distance-bottom:0.0pt;" stroked="f">
                      <v:path textboxrect="0,0,0,0"/>
                      <v:imagedata r:id="rId16" o:title=""/>
                    </v:shape>
                  </w:pict>
                </mc:Fallback>
              </mc:AlternateContent>
            </w:r>
            <w:r/>
          </w:p>
        </w:tc>
      </w:tr>
      <w:tr>
        <w:trPr>
          <w:jc w:val="center"/>
          <w:trHeight w:val="188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学生宿舍晾衣架</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规格：≥3000mm；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主体材质：采用国标304不锈钢管；</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安全要求：无锐边尖角、管口全封胶塞、焊点牢固、承重稳定、安装后采用膨胀螺栓固定在墙上；</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inline xmlns:wp="http://schemas.openxmlformats.org/drawingml/2006/wordprocessingDrawing" distT="0" distB="0" distL="0" distR="0">
                      <wp:extent cx="1296670" cy="1219835"/>
                      <wp:effectExtent l="0" t="0" r="11430" b="12065"/>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r/>
                            </pic:nvPicPr>
                            <pic:blipFill>
                              <a:blip r:embed="rId17"/>
                              <a:stretch/>
                            </pic:blipFill>
                            <pic:spPr bwMode="auto">
                              <a:xfrm>
                                <a:off x="0" y="0"/>
                                <a:ext cx="1296670" cy="1219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1pt;height:96.0pt;mso-wrap-distance-left:0.0pt;mso-wrap-distance-top:0.0pt;mso-wrap-distance-right:0.0pt;mso-wrap-distance-bottom:0.0pt;" stroked="f" strokeweight="0.75pt">
                      <v:path textboxrect="0,0,0,0"/>
                      <v:imagedata r:id="rId1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学生宿舍盆架</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规格：≥600mm*300mm*1030mm；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主体材质：立柱采用≥长25mm*宽25mm*厚1.2mm方管，其他管材为≥长20mm*宽20mm*厚1.2mm方管。行李架分为4层结构，钢架与地面接触部分加装塑料脚套及胶垫，胶套及脚垫加固处理。</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inline xmlns:wp="http://schemas.openxmlformats.org/drawingml/2006/wordprocessingDrawing" distT="0" distB="0" distL="0" distR="0">
                      <wp:extent cx="1304925" cy="1562100"/>
                      <wp:effectExtent l="0" t="0" r="3175" b="0"/>
                      <wp:docPr id="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7"/>
                              <pic:cNvPicPr>
                                <a:picLocks noChangeAspect="1"/>
                              </pic:cNvPicPr>
                              <pic:nvPr/>
                            </pic:nvPicPr>
                            <pic:blipFill>
                              <a:blip r:embed="rId18"/>
                              <a:stretch/>
                            </pic:blipFill>
                            <pic:spPr bwMode="auto">
                              <a:xfrm>
                                <a:off x="0" y="0"/>
                                <a:ext cx="1304925" cy="1562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2.8pt;height:123.0pt;mso-wrap-distance-left:0.0pt;mso-wrap-distance-top:0.0pt;mso-wrap-distance-right:0.0pt;mso-wrap-distance-bottom:0.0pt;" stroked="f" strokeweight="0.75pt">
                      <v:path textboxrect="0,0,0,0"/>
                      <v:imagedata r:id="rId18" o:title=""/>
                    </v:shape>
                  </w:pict>
                </mc:Fallback>
              </mc:AlternateContent>
            </w:r>
            <w:r/>
          </w:p>
        </w:tc>
      </w:tr>
      <w:tr>
        <w:trPr>
          <w:jc w:val="center"/>
          <w:trHeight w:val="405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自习室桌</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1、规格：≥1200*500*750mm。</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2、台面板：采用颗粒板（三聚氰胺板），符合国家E0级板材标准，厚度≥25mm，面粘三聚氰胺胶面，同色封边。</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2、前挡板：采用颗粒板（三聚氰胺板），符合国家E0级板材标准，厚度≥15mm，面粘三聚氰胺胶面，同色封边。</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3、脚管：采用≥30MM*60MM 蛋形冷轧管（≥1.0MM壁厚），表面采用防锈静电喷涂处理。</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4、书斗：层板为≥0.7mm钢板冲压折边，表面采用防锈静电喷涂处理。</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5、脚轮：采用万向带刹车脚轮。</w:t>
            </w:r>
            <w:r>
              <w:rPr>
                <w:rFonts w:hint="eastAsia" w:ascii="宋体" w:hAnsi="宋体" w:eastAsia="宋体" w:cs="宋体"/>
                <w:i w:val="0"/>
                <w:iCs w:val="0"/>
                <w:color w:val="000000"/>
                <w:sz w:val="20"/>
                <w:szCs w:val="22"/>
                <w:u w:val="none"/>
                <w:lang w:val="en-US" w:eastAsia="zh-CN" w:bidi="ar"/>
              </w:rPr>
              <w:br/>
            </w:r>
            <w:r>
              <w:rPr>
                <w:rFonts w:hint="eastAsia" w:ascii="宋体" w:hAnsi="宋体" w:eastAsia="宋体" w:cs="宋体"/>
                <w:i w:val="0"/>
                <w:iCs w:val="0"/>
                <w:color w:val="000000"/>
                <w:sz w:val="20"/>
                <w:szCs w:val="22"/>
                <w:u w:val="none"/>
                <w:lang w:val="en-US" w:eastAsia="zh-CN" w:bidi="ar"/>
              </w:rPr>
              <w:t xml:space="preserve">6、外观设计：采用人体工程理念及个性化需求，整件产品拼接好，接缝齐整,结构稳定。</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57785</wp:posOffset>
                      </wp:positionH>
                      <wp:positionV relativeFrom="paragraph">
                        <wp:posOffset>-80645</wp:posOffset>
                      </wp:positionV>
                      <wp:extent cx="1250950" cy="1376045"/>
                      <wp:effectExtent l="0" t="0" r="6350" b="8255"/>
                      <wp:wrapNone/>
                      <wp:docPr id="9" name="图片_4"/>
                      <wp:cNvGraphicFramePr/>
                      <a:graphic xmlns:a="http://schemas.openxmlformats.org/drawingml/2006/main">
                        <a:graphicData uri="http://schemas.openxmlformats.org/drawingml/2006/picture">
                          <pic:pic xmlns:pic="http://schemas.openxmlformats.org/drawingml/2006/picture">
                            <pic:nvPicPr>
                              <pic:cNvPr id="9" name="图片_4"/>
                              <pic:cNvPicPr/>
                              <pic:nvPr/>
                            </pic:nvPicPr>
                            <pic:blipFill>
                              <a:blip r:embed="rId19"/>
                              <a:stretch/>
                            </pic:blipFill>
                            <pic:spPr bwMode="auto">
                              <a:xfrm>
                                <a:off x="0" y="0"/>
                                <a:ext cx="1250950" cy="1376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4.5pt;mso-position-horizontal:absolute;mso-position-vertical-relative:text;margin-top:-6.3pt;mso-position-vertical:absolute;width:98.5pt;height:108.3pt;mso-wrap-distance-left:9.0pt;mso-wrap-distance-top:0.0pt;mso-wrap-distance-right:9.0pt;mso-wrap-distance-bottom:0.0pt;" stroked="f">
                      <v:path textboxrect="0,0,0,0"/>
                      <v:imagedata r:id="rId19" o:title=""/>
                    </v:shape>
                  </w:pict>
                </mc:Fallback>
              </mc:AlternateContent>
            </w:r>
            <w:r/>
          </w:p>
        </w:tc>
      </w:tr>
      <w:tr>
        <w:trPr>
          <w:jc w:val="center"/>
          <w:trHeight w:val="209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自习室椅</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座椅采用怀抱式圆弧靠背，更加贴合背部曲线；具有44cm舒适坐深，高密度海绵填充</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279400</wp:posOffset>
                      </wp:positionH>
                      <wp:positionV relativeFrom="paragraph">
                        <wp:posOffset>-30480</wp:posOffset>
                      </wp:positionV>
                      <wp:extent cx="1026160" cy="1014095"/>
                      <wp:effectExtent l="0" t="0" r="2540" b="1905"/>
                      <wp:wrapNone/>
                      <wp:docPr id="10" name="图片_5"/>
                      <wp:cNvGraphicFramePr/>
                      <a:graphic xmlns:a="http://schemas.openxmlformats.org/drawingml/2006/main">
                        <a:graphicData uri="http://schemas.openxmlformats.org/drawingml/2006/picture">
                          <pic:pic xmlns:pic="http://schemas.openxmlformats.org/drawingml/2006/picture">
                            <pic:nvPicPr>
                              <pic:cNvPr id="10" name="图片_5"/>
                              <pic:cNvPicPr/>
                              <pic:nvPr/>
                            </pic:nvPicPr>
                            <pic:blipFill>
                              <a:blip r:embed="rId20"/>
                              <a:stretch/>
                            </pic:blipFill>
                            <pic:spPr bwMode="auto">
                              <a:xfrm>
                                <a:off x="0" y="0"/>
                                <a:ext cx="1026160" cy="1014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2.0pt;mso-position-horizontal:absolute;mso-position-vertical-relative:text;margin-top:-2.4pt;mso-position-vertical:absolute;width:80.8pt;height:79.8pt;mso-wrap-distance-left:9.0pt;mso-wrap-distance-top:0.0pt;mso-wrap-distance-right:9.0pt;mso-wrap-distance-bottom:0.0pt;" stroked="f">
                      <v:path textboxrect="0,0,0,0"/>
                      <v:imagedata r:id="rId20" o:title=""/>
                    </v:shape>
                  </w:pict>
                </mc:Fallback>
              </mc:AlternateConten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学生床（含椅子）</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（一）两联体两人位爬梯公寓组合床：规格为≥2000*900*2150mm，床横梁离地净空高≥1700mm；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1、床立柱：采用外形规格≥86*86mm*1.2mm的管材，经轧压线辊压成型，高频焊接成闭口型材管。两边外立面向外延伸可隐藏卡扣连接件。立柱上下均采用PP塑料的静音内外塞封头。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▲提供“床立柱”检测报告，检验检测依据：GB/T 3325-2024、GB/T 2423.18-2021、GB/T 6461-2002、GB/T 10125-2021、GB/T 35607-2024、GB/T 230.1-2018、GB/T 11253-2019；检测内容至少包含：①外观性能符合要求；金属喷漆（塑）层符合要求；②产品有害物质-家具涂层可迁移元素：锑、砷、镉、铬、铅、汞、硒均未检出；钡≤50mg/kg；</w:t>
            </w:r>
            <w:r>
              <w:rPr>
                <w:rFonts w:hint="eastAsia" w:ascii="宋体" w:hAnsi="宋体" w:eastAsia="宋体" w:cs="宋体"/>
                <w:b/>
                <w:bCs/>
                <w:i w:val="0"/>
                <w:iCs w:val="0"/>
                <w:color w:val="000000"/>
                <w:sz w:val="20"/>
                <w:szCs w:val="20"/>
                <w:u w:val="none"/>
                <w:lang w:val="en-US" w:eastAsia="zh-CN" w:bidi="ar"/>
              </w:rPr>
              <w:t xml:space="preserve">（需提供具有CMA或CNAS认可标志的第三方检测机构出具的检测报告扫描件并加盖投标人电子签章）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（床立柱示意图）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2、中立柱：采用≥78mm*56.5mm*1.2mm的高频焊接封口型材管，经轧压线辊压成型，管材截面由多个面组成，与床横梁挂件采用两个面接触下挂式连接，立柱上下均采用PP塑料的静音内外塞封头。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（中立柱参考示意图）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3、床横梁：采用外形规格≥95*40mm*1.2mm的管材，经轧压线辊压成型，高频焊接成闭口型材管。床厅外侧有3条内凹加强筋；床厅内侧上部直角设计，放置床板，下部为弧面设计；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▲提供“床横梁”检测报告，检验检测依据：GB/T 3325-2024、GB/T 2423.18-2021、GB/T 6461-2002、GB/T 10125-2021、GB/T 35607-2024、GB/T 230.1-2018、GB/T 11253-2019；检测内容至少包含：①外观性能符合要求；金属喷漆（塑）层符合要求；②产品有害物质-家具涂层可迁移元素：锑、砷、镉、铬、铅、汞、硒均未检出；钡≤25mg/kg；</w:t>
            </w:r>
            <w:r>
              <w:rPr>
                <w:rFonts w:hint="eastAsia" w:ascii="宋体" w:hAnsi="宋体" w:eastAsia="宋体" w:cs="宋体"/>
                <w:b/>
                <w:bCs/>
                <w:i w:val="0"/>
                <w:iCs w:val="0"/>
                <w:color w:val="000000"/>
                <w:sz w:val="20"/>
                <w:szCs w:val="20"/>
                <w:u w:val="none"/>
                <w:lang w:val="en-US" w:eastAsia="zh-CN" w:bidi="ar"/>
              </w:rPr>
              <w:t xml:space="preserve">（需提供具有CMA或CNAS认可标志的第三方检测机构出具的检测报告扫描件并加盖投标人电子签章）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（床横梁示意图）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4、卡式连接件：采用冷轧钢板经冲床一次性冲压成型，成型后尺寸≥200mm*25mm*25mm，材质厚度≥2.0mm。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5、侧上短横梁：采用≥50mm*25mm*1.0mm方管制作。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6、前护栏：护栏采用整体式，规格为≥长1630mm*高420mm；护栏挡板采用≥18mm厚三聚氰胺双饰面高密度板,符合国家E0级板材标准。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（前护栏参考示意图）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7、床头护栏：横管采用≥25mm*25mm*1.0mm的方管，竖管采用≥20*20*1.0mm的方管。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8、床板支撑管：采用截面规格≥33mm*25mm*1.0mm封口型材管，支撑两侧各带有1条加强筋，增加韧性，管材上端为凹面设计，下端为圆弧形；每个床位不少于5根，两头安装限位塑料消音件。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（床横梁示意图）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9、爬梯：立柱采用≥20mm*40mm*1.2mm厚椭圆管焊接而成，踏板采用≥1.5厚冷轧钢板一次冲压成型，规格为≥长330*宽100mm，踏板表面内嵌防滑塑料件，带有夜光功能。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10、床板：采用≥15mm厚杉木板，符合国家E0级板材标准，拼接缝隙应小于5mm，床板背面需有3根≥25*35mm实木方料横杠加固，符合国家E0级板材标准。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▲提供“床板”检测报告，检验检测依据：GB/T 3324-2024</w:t>
            </w:r>
            <w:r>
              <w:rPr>
                <w:rFonts w:hint="eastAsia" w:ascii="宋体" w:hAnsi="宋体" w:eastAsia="宋体" w:cs="宋体"/>
                <w:i w:val="0"/>
                <w:iCs w:val="0"/>
                <w:color w:val="000000"/>
                <w:sz w:val="20"/>
                <w:szCs w:val="20"/>
                <w:u w:val="none"/>
                <w:lang w:val="en-US" w:eastAsia="zh-CN" w:bidi="ar"/>
              </w:rPr>
              <w:t xml:space="preserve">、GB 18584-2024、GB/T 31762-2015、GB/T 38467-2020；检测内容至少包含：①外观要求-木材（贯通裂缝，虫蛀，腐朽材，树脂囊，节子，死节、孔洞、夹皮和树脂道、树胶道）符合要求；②有害物质限量-甲醛≤0.01mg/m³、苯≤0.005mg/m³、甲苯≤0.005mg/m³、二甲苯(邻、间、对二甲苯之和)≤0.005mg/m³、总挥发性有机化合物（TVOC）≤0.05mg/m³；③苯酚释放量≤0.1mg/m³；④理化性能-体积湿胀率≤7%，宽度干缩率≤3%，体积干缩率≤7%。</w:t>
            </w:r>
            <w:r>
              <w:rPr>
                <w:rFonts w:hint="eastAsia" w:ascii="宋体" w:hAnsi="宋体" w:eastAsia="宋体" w:cs="宋体"/>
                <w:b/>
                <w:bCs/>
                <w:i w:val="0"/>
                <w:iCs w:val="0"/>
                <w:color w:val="000000"/>
                <w:sz w:val="20"/>
                <w:szCs w:val="20"/>
                <w:u w:val="none"/>
                <w:lang w:val="en-US" w:eastAsia="zh-CN" w:bidi="ar"/>
              </w:rPr>
              <w:t xml:space="preserve">（需提供具有CMA或CNAS认可标志的第三方检测机构出具的检测报告扫描件并加盖投标人电子签章）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11、材料及制造工艺要求：CO2保护焊。连接：嵌齿卡口（无螺栓）；封堵：外露栓头加塞PP塑料的静音内塞及PP塑料内外套。钢管涂装：酸洗、陶化、钝化，采用环保塑粉（环保一级）高压静电喷塑。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（二）床下组合柜：整体规格长≥1900mm*宽600mm*高1690mm（根据床下实际内空制作）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1、写字桌：规格≥长1200mm*宽600mm*高760mm，采用实木多层板，符合国家E0级板材标准。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▲提供“写字桌”检测报告，检验检测依据：GB/T 35607-2024、QB/T 4371-2012、JC/T 2039-2010、GB/T 29899-2024、GB/T 17657-2022、GB/T 40908-2021、GB/T 12000-2017；检测内容至少包含：①耐干热≥4级、耐湿热≥4级、耐污染≥4级；②产品有害物质：甲醛释放量≤0.01mg/m³；苯、甲苯、二甲苯、总挥发性有机化合物均未检出；家具涂层</w:t>
            </w:r>
            <w:r>
              <w:rPr>
                <w:rFonts w:hint="eastAsia" w:ascii="宋体" w:hAnsi="宋体" w:eastAsia="宋体" w:cs="宋体"/>
                <w:i w:val="0"/>
                <w:iCs w:val="0"/>
                <w:color w:val="000000"/>
                <w:sz w:val="20"/>
                <w:szCs w:val="20"/>
                <w:u w:val="none"/>
                <w:lang w:val="en-US" w:eastAsia="zh-CN" w:bidi="ar"/>
              </w:rPr>
              <w:t xml:space="preserve">可迁移元素：锑、砷、镉、铬、铅、汞、硒均未检出；钡≤50mg/kg；③抗菌性能-抑菌率（金黄色葡萄球菌、变化考克氏菌（变异库克菌）、大肠杆菌）≥99.9% ；防霉菌性能-防霉菌等级（黑曲霉、黄曲霉、正灰绿青霉）为0级；④醛酮类化合物(羰基类化合物)≤0.15mg/m³；⑤抗冲击性能：落球高度1000mm、压痕直径≥2.0mm、板面无破损；⑥有机磷阻燃剂-TCEP≤1mg/kg、TDCPP≤1mg/kg、TOCP≤1mg/kg、DDBPP≤35mg/kg、TEPA≤35mg/kg、TDBPP≤35mg/kg；</w:t>
            </w:r>
            <w:r>
              <w:rPr>
                <w:rFonts w:hint="eastAsia" w:ascii="宋体" w:hAnsi="宋体" w:eastAsia="宋体" w:cs="宋体"/>
                <w:b/>
                <w:bCs/>
                <w:i w:val="0"/>
                <w:iCs w:val="0"/>
                <w:color w:val="000000"/>
                <w:sz w:val="20"/>
                <w:szCs w:val="20"/>
                <w:u w:val="none"/>
                <w:lang w:val="en-US" w:eastAsia="zh-CN" w:bidi="ar"/>
              </w:rPr>
              <w:t xml:space="preserve">（需提供具有CMA或CNAS认可标志的第三方检测机构出具的检测报告扫描件并加盖投标人电子签章）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2、衣柜：规格≥宽700*深800*1690mm，衣柜采用对开门设计，柜门与柜体采用阻尼铰链连接。衣柜分为上下两层，上层空间可</w:t>
            </w:r>
            <w:r>
              <w:rPr>
                <w:rFonts w:hint="eastAsia" w:ascii="宋体" w:hAnsi="宋体" w:eastAsia="宋体" w:cs="宋体"/>
                <w:i w:val="0"/>
                <w:iCs w:val="0"/>
                <w:color w:val="000000"/>
                <w:sz w:val="20"/>
                <w:szCs w:val="20"/>
                <w:u w:val="none"/>
                <w:lang w:val="en-US" w:eastAsia="zh-CN" w:bidi="ar"/>
              </w:rPr>
              <w:t xml:space="preserve">用于叠放被褥，下层空间配有一根≥Φ19mm不锈钢挂衣杆可挂放衣物。柜体采用≥18mm厚E0级三聚氰胺饰面板，符合国家E0级板材标准；颗粒板为基材，背板采用≥5mm厚E0级实木多层板，符合国家E0级板材标准。柜门采用≥18mm厚三聚氰胺饰面板，颗粒板为基材，符合国家E0级板材标准；柜门采用环保ABS塑料一次性注塑成型拉手设计，拉手规格：规格≥长125mm*宽25mm，底座规格≥长140mm*宽32mm，扣手和底座采用插入式连接，采用螺丝加固，扣手与底座连接后整体厚度为≥25mm；需配备金属机械门锁（含钥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▲提供“衣柜”检测报告，检验检测依据：GB/T 3324-2024、GB 8624-2012、GB/T 35607-2024、QB/T 4371-2012、JC/T 2039-2010、GB/T 40493-2021、GB/T 17657-2022；检测内容至少包含：①形状和位置公差-底角平稳性≤0.8mm，②耐污染性能不低于4级；耐干热不低于1级；耐湿热不低</w:t>
            </w:r>
            <w:r>
              <w:rPr>
                <w:rFonts w:hint="eastAsia" w:ascii="宋体" w:hAnsi="宋体" w:eastAsia="宋体" w:cs="宋体"/>
                <w:i w:val="0"/>
                <w:iCs w:val="0"/>
                <w:color w:val="000000"/>
                <w:sz w:val="20"/>
                <w:szCs w:val="20"/>
                <w:u w:val="none"/>
                <w:lang w:val="en-US" w:eastAsia="zh-CN" w:bidi="ar"/>
              </w:rPr>
              <w:t xml:space="preserve">于1级；耐划痕符合要求；抗冲击不低于2级；耐光色牢度＞4级）；③柜架类强度和耐久性-搁板弯曲试验符合要求；柜类稳定性无倾翻；④燃烧性能-燃烧性能等级B1级；⑤产品有害物质-甲醛释放量≤0.01mg/m³、苯、甲苯、二甲苯、总挥发性有机化合物均未检查；⑥抗菌性能-抑菌率（金黄色葡萄球菌、变化考克氏菌（变异库克菌）、大肠杆菌）≥99.9%；防霉菌性能-防霉菌性等级（黑曲霉、正灰绿青霉、黄曲霉）为0级；⑦重金属元素含量：铅、镉、铬、汞均未检出；⑧抗冲击性能-落球高度1000mm、压痕直径≥2.0mm、板面无破损。</w:t>
            </w:r>
            <w:r>
              <w:rPr>
                <w:rFonts w:hint="eastAsia" w:ascii="宋体" w:hAnsi="宋体" w:eastAsia="宋体" w:cs="宋体"/>
                <w:b/>
                <w:bCs/>
                <w:i w:val="0"/>
                <w:iCs w:val="0"/>
                <w:color w:val="000000"/>
                <w:sz w:val="20"/>
                <w:szCs w:val="20"/>
                <w:u w:val="none"/>
                <w:lang w:val="en-US" w:eastAsia="zh-CN" w:bidi="ar"/>
              </w:rPr>
              <w:t xml:space="preserve">（需提供具有CMA或CNAS认可标志的第三方检测机构出具的检测报告扫描件并加盖投标人电子签章）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（三）公寓椅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1、坐板：规格≥长380mm*宽427mm，厚度≥8mm，与靠背连接处两侧加强筋厚度≥17mm，能够有效支撑与承重。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椅钢架：采用≥20mm*40mm*1.2mm椭圆管；钢管经抽芯弯制而成后形成“C”状弧形结构，弧形处不得有凹槽；坐板下方专属配置2根平行布置的矩形方管，单根截面尺寸为≥15mm*30mm*1.0mm。表面经酸洗、磷化等防锈处理，流水线静电喷涂。</w:t>
            </w:r>
            <w:r/>
          </w:p>
        </w:tc>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tcPr>
          <w:tbl>
            <w:tblPr>
              <w:tblStyle w:val="684"/>
              <w:tblW w:w="4981"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05"/>
            </w:tblGrid>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3506470</wp:posOffset>
                            </wp:positionV>
                            <wp:extent cx="1540510" cy="803910"/>
                            <wp:effectExtent l="0" t="0" r="8890" b="8890"/>
                            <wp:wrapNone/>
                            <wp:docPr id="11" name="图片_29"/>
                            <wp:cNvGraphicFramePr/>
                            <a:graphic xmlns:a="http://schemas.openxmlformats.org/drawingml/2006/main">
                              <a:graphicData uri="http://schemas.openxmlformats.org/drawingml/2006/picture">
                                <pic:pic xmlns:pic="http://schemas.openxmlformats.org/drawingml/2006/picture">
                                  <pic:nvPicPr>
                                    <pic:cNvPr id="11" name="图片_29"/>
                                    <pic:cNvPicPr/>
                                    <pic:nvPr/>
                                  </pic:nvPicPr>
                                  <pic:blipFill>
                                    <a:blip r:embed="rId21"/>
                                    <a:stretch/>
                                  </pic:blipFill>
                                  <pic:spPr bwMode="auto">
                                    <a:xfrm>
                                      <a:off x="0" y="0"/>
                                      <a:ext cx="1540510" cy="803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5pt;mso-position-horizontal:absolute;mso-position-vertical-relative:text;margin-top:276.1pt;mso-position-vertical:absolute;width:121.3pt;height:63.3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2886075</wp:posOffset>
                            </wp:positionV>
                            <wp:extent cx="916305" cy="568960"/>
                            <wp:effectExtent l="0" t="0" r="10795" b="2540"/>
                            <wp:wrapNone/>
                            <wp:docPr id="12"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22"/>
                                    <a:stretch/>
                                  </pic:blipFill>
                                  <pic:spPr bwMode="auto">
                                    <a:xfrm>
                                      <a:off x="0" y="0"/>
                                      <a:ext cx="91630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5pt;mso-position-horizontal:absolute;mso-position-vertical-relative:text;margin-top:227.2pt;mso-position-vertical:absolute;width:72.1pt;height:44.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1930400</wp:posOffset>
                            </wp:positionV>
                            <wp:extent cx="888365" cy="582930"/>
                            <wp:effectExtent l="0" t="0" r="635" b="1270"/>
                            <wp:wrapNone/>
                            <wp:docPr id="13" name="图片_1"/>
                            <wp:cNvGraphicFramePr/>
                            <a:graphic xmlns:a="http://schemas.openxmlformats.org/drawingml/2006/main">
                              <a:graphicData uri="http://schemas.openxmlformats.org/drawingml/2006/picture">
                                <pic:pic xmlns:pic="http://schemas.openxmlformats.org/drawingml/2006/picture">
                                  <pic:nvPicPr>
                                    <pic:cNvPr id="13" name="图片_1"/>
                                    <pic:cNvPicPr/>
                                    <pic:nvPr/>
                                  </pic:nvPicPr>
                                  <pic:blipFill>
                                    <a:blip r:embed="rId23"/>
                                    <a:stretch/>
                                  </pic:blipFill>
                                  <pic:spPr bwMode="auto">
                                    <a:xfrm>
                                      <a:off x="0" y="0"/>
                                      <a:ext cx="888365" cy="582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3.8pt;mso-position-horizontal:absolute;mso-position-vertical-relative:text;margin-top:152.0pt;mso-position-vertical:absolute;width:70.0pt;height:45.9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212090</wp:posOffset>
                            </wp:positionV>
                            <wp:extent cx="1231265" cy="823595"/>
                            <wp:effectExtent l="0" t="0" r="635" b="1905"/>
                            <wp:wrapNone/>
                            <wp:docPr id="14" name="图片_22"/>
                            <wp:cNvGraphicFramePr/>
                            <a:graphic xmlns:a="http://schemas.openxmlformats.org/drawingml/2006/main">
                              <a:graphicData uri="http://schemas.openxmlformats.org/drawingml/2006/picture">
                                <pic:pic xmlns:pic="http://schemas.openxmlformats.org/drawingml/2006/picture">
                                  <pic:nvPicPr>
                                    <pic:cNvPr id="14" name="图片_22"/>
                                    <pic:cNvPicPr/>
                                    <pic:nvPr/>
                                  </pic:nvPicPr>
                                  <pic:blipFill>
                                    <a:blip r:embed="rId24"/>
                                    <a:stretch/>
                                  </pic:blipFill>
                                  <pic:spPr bwMode="auto">
                                    <a:xfrm>
                                      <a:off x="0" y="0"/>
                                      <a:ext cx="1231264" cy="823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3.8pt;mso-position-horizontal:absolute;mso-position-vertical-relative:text;margin-top:16.7pt;mso-position-vertical:absolute;width:96.9pt;height:64.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352425</wp:posOffset>
                            </wp:positionH>
                            <wp:positionV relativeFrom="paragraph">
                              <wp:posOffset>1943100</wp:posOffset>
                            </wp:positionV>
                            <wp:extent cx="514985" cy="190500"/>
                            <wp:effectExtent l="0" t="0" r="5715" b="0"/>
                            <wp:wrapNone/>
                            <wp:docPr id="15" name="文本框_30"/>
                            <wp:cNvGraphicFramePr/>
                            <a:graphic xmlns:a="http://schemas.openxmlformats.org/drawingml/2006/main">
                              <a:graphicData uri="http://schemas.openxmlformats.org/drawingml/2006/picture">
                                <pic:pic xmlns:pic="http://schemas.openxmlformats.org/drawingml/2006/picture">
                                  <pic:nvPicPr>
                                    <pic:cNvPr id="15" name="文本框_30"/>
                                    <pic:cNvPicPr/>
                                    <pic:nvPr/>
                                  </pic:nvPicPr>
                                  <pic:blipFill>
                                    <a:blip r:embed="rId25"/>
                                    <a:stretch/>
                                  </pic:blipFill>
                                  <pic:spPr bwMode="auto">
                                    <a:xfrm>
                                      <a:off x="0" y="0"/>
                                      <a:ext cx="51498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7.8pt;mso-position-horizontal:absolute;mso-position-vertical-relative:text;margin-top:153.0pt;mso-position-vertical:absolute;width:40.5pt;height:15.0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1000125</wp:posOffset>
                            </wp:positionH>
                            <wp:positionV relativeFrom="paragraph">
                              <wp:posOffset>2800350</wp:posOffset>
                            </wp:positionV>
                            <wp:extent cx="638810" cy="687070"/>
                            <wp:effectExtent l="0" t="0" r="8890" b="11430"/>
                            <wp:wrapNone/>
                            <wp:docPr id="16" name="图片_11"/>
                            <wp:cNvGraphicFramePr/>
                            <a:graphic xmlns:a="http://schemas.openxmlformats.org/drawingml/2006/main">
                              <a:graphicData uri="http://schemas.openxmlformats.org/drawingml/2006/picture">
                                <pic:pic xmlns:pic="http://schemas.openxmlformats.org/drawingml/2006/picture">
                                  <pic:nvPicPr>
                                    <pic:cNvPr id="16" name="图片_11"/>
                                    <pic:cNvPicPr/>
                                    <pic:nvPr/>
                                  </pic:nvPicPr>
                                  <pic:blipFill>
                                    <a:blip r:embed="rId26"/>
                                    <a:stretch/>
                                  </pic:blipFill>
                                  <pic:spPr bwMode="auto">
                                    <a:xfrm>
                                      <a:off x="0" y="0"/>
                                      <a:ext cx="638810" cy="6870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78.8pt;mso-position-horizontal:absolute;mso-position-vertical-relative:text;margin-top:220.5pt;mso-position-vertical:absolute;width:50.3pt;height:54.1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1029335</wp:posOffset>
                            </wp:positionH>
                            <wp:positionV relativeFrom="paragraph">
                              <wp:posOffset>1892300</wp:posOffset>
                            </wp:positionV>
                            <wp:extent cx="685165" cy="814705"/>
                            <wp:effectExtent l="0" t="0" r="635" b="10795"/>
                            <wp:wrapNone/>
                            <wp:docPr id="17" name="图片_24"/>
                            <wp:cNvGraphicFramePr/>
                            <a:graphic xmlns:a="http://schemas.openxmlformats.org/drawingml/2006/main">
                              <a:graphicData uri="http://schemas.openxmlformats.org/drawingml/2006/picture">
                                <pic:pic xmlns:pic="http://schemas.openxmlformats.org/drawingml/2006/picture">
                                  <pic:nvPicPr>
                                    <pic:cNvPr id="17" name="图片_24"/>
                                    <pic:cNvPicPr/>
                                    <pic:nvPr/>
                                  </pic:nvPicPr>
                                  <pic:blipFill>
                                    <a:blip r:embed="rId27"/>
                                    <a:stretch/>
                                  </pic:blipFill>
                                  <pic:spPr bwMode="auto">
                                    <a:xfrm>
                                      <a:off x="0" y="0"/>
                                      <a:ext cx="685165"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81.0pt;mso-position-horizontal:absolute;mso-position-vertical-relative:text;margin-top:149.0pt;mso-position-vertical:absolute;width:53.9pt;height:64.1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1606550</wp:posOffset>
                            </wp:positionH>
                            <wp:positionV relativeFrom="paragraph">
                              <wp:posOffset>2816225</wp:posOffset>
                            </wp:positionV>
                            <wp:extent cx="79375" cy="200025"/>
                            <wp:effectExtent l="0" t="0" r="9525" b="3175"/>
                            <wp:wrapNone/>
                            <wp:docPr id="18" name="文本框_32"/>
                            <wp:cNvGraphicFramePr/>
                            <a:graphic xmlns:a="http://schemas.openxmlformats.org/drawingml/2006/main">
                              <a:graphicData uri="http://schemas.openxmlformats.org/drawingml/2006/picture">
                                <pic:pic xmlns:pic="http://schemas.openxmlformats.org/drawingml/2006/picture">
                                  <pic:nvPicPr>
                                    <pic:cNvPr id="18" name="文本框_32"/>
                                    <pic:cNvPicPr/>
                                    <pic:nvPr/>
                                  </pic:nvPicPr>
                                  <pic:blipFill>
                                    <a:blip r:embed="rId28"/>
                                    <a:stretch/>
                                  </pic:blipFill>
                                  <pic:spPr bwMode="auto">
                                    <a:xfrm>
                                      <a:off x="0" y="0"/>
                                      <a:ext cx="79375" cy="200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26.5pt;mso-position-horizontal:absolute;mso-position-vertical-relative:text;margin-top:221.8pt;mso-position-vertical:absolute;width:6.2pt;height:15.8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1651000</wp:posOffset>
                            </wp:positionH>
                            <wp:positionV relativeFrom="paragraph">
                              <wp:posOffset>1965325</wp:posOffset>
                            </wp:positionV>
                            <wp:extent cx="514985" cy="190500"/>
                            <wp:effectExtent l="0" t="0" r="5715" b="0"/>
                            <wp:wrapNone/>
                            <wp:docPr id="19" name="文本框_31"/>
                            <wp:cNvGraphicFramePr/>
                            <a:graphic xmlns:a="http://schemas.openxmlformats.org/drawingml/2006/main">
                              <a:graphicData uri="http://schemas.openxmlformats.org/drawingml/2006/picture">
                                <pic:pic xmlns:pic="http://schemas.openxmlformats.org/drawingml/2006/picture">
                                  <pic:nvPicPr>
                                    <pic:cNvPr id="19" name="文本框_31"/>
                                    <pic:cNvPicPr/>
                                    <pic:nvPr/>
                                  </pic:nvPicPr>
                                  <pic:blipFill>
                                    <a:blip r:embed="rId29"/>
                                    <a:stretch/>
                                  </pic:blipFill>
                                  <pic:spPr bwMode="auto">
                                    <a:xfrm>
                                      <a:off x="0" y="0"/>
                                      <a:ext cx="51498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30.0pt;mso-position-horizontal:absolute;mso-position-vertical-relative:text;margin-top:154.8pt;mso-position-vertical:absolute;width:40.5pt;height:15.0pt;mso-wrap-distance-left:9.0pt;mso-wrap-distance-top:0.0pt;mso-wrap-distance-right:9.0pt;mso-wrap-distance-bottom:0.0pt;" stroked="f">
                            <v:path textboxrect="0,0,0,0"/>
                            <v:imagedata r:id="rId29" o:title=""/>
                          </v:shape>
                        </w:pict>
                      </mc:Fallback>
                    </mc:AlternateContent>
                  </w:r>
                  <w:r/>
                </w:p>
              </w:tc>
            </w:tr>
          </w:tbl>
          <w:p>
            <w:pPr>
              <w:ind w:left="0" w:right="0" w:firstLine="0"/>
              <w:jc w:val="left"/>
              <w:keepLines w:val="0"/>
              <w:keepNext w:val="0"/>
              <w:widowControl/>
              <w:rPr>
                <w:rFonts w:hint="eastAsia" w:ascii="宋体" w:hAnsi="宋体" w:eastAsia="宋体" w:cs="宋体"/>
                <w:i w:val="0"/>
                <w:iCs w:val="0"/>
                <w:color w:val="000000"/>
                <w:sz w:val="20"/>
                <w:szCs w:val="22"/>
                <w:u w:val="none"/>
                <w:lang w:val="en-US" w:eastAsia="zh-CN" w:bidi="ar-SA"/>
              </w:rPr>
              <w:suppressLineNumbers w:val="0"/>
            </w:pPr>
            <w:r>
              <w:rPr>
                <w:rFonts w:hint="eastAsia" w:ascii="宋体" w:hAnsi="宋体" w:eastAsia="宋体" w:cs="宋体"/>
                <w:i w:val="0"/>
                <w:iCs w:val="0"/>
                <w:color w:val="000000"/>
                <w:sz w:val="20"/>
                <w:szCs w:val="22"/>
                <w:u w:val="none"/>
                <w:lang w:val="en-US" w:eastAsia="zh-CN" w:bidi="ar-SA"/>
              </w:rPr>
            </w:r>
            <w:r/>
          </w:p>
        </w:tc>
      </w:tr>
    </w:tbl>
    <w:p>
      <w:pPr>
        <w:jc w:val="both"/>
        <w:spacing w:line="520" w:lineRule="exact"/>
        <w:widowControl w:val="off"/>
        <w:rPr>
          <w:rFonts w:hint="default" w:ascii="仿宋" w:hAnsi="仿宋" w:eastAsia="仿宋" w:cs="Times New Roman"/>
          <w:sz w:val="28"/>
          <w:szCs w:val="28"/>
          <w:highlight w:val="yellow"/>
          <w:lang w:val="en-US" w:eastAsia="zh-CN" w:bidi="ar-SA"/>
        </w:rPr>
      </w:pPr>
      <w:r>
        <w:rPr>
          <w:rFonts w:hint="default" w:ascii="仿宋" w:hAnsi="仿宋" w:eastAsia="仿宋" w:cs="Times New Roman"/>
          <w:sz w:val="28"/>
          <w:szCs w:val="28"/>
          <w:highlight w:val="yellow"/>
          <w:lang w:val="en-US" w:eastAsia="zh-CN" w:bidi="ar-SA"/>
        </w:rPr>
      </w:r>
      <w:r/>
    </w:p>
    <w:p>
      <w:pPr>
        <w:jc w:val="both"/>
        <w:spacing w:line="52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三、技术要求</w:t>
      </w:r>
      <w:r/>
    </w:p>
    <w:p>
      <w:pPr>
        <w:ind w:firstLine="560"/>
        <w:jc w:val="both"/>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（一）总体要求</w:t>
      </w:r>
      <w:r/>
    </w:p>
    <w:p>
      <w:pPr>
        <w:ind w:firstLine="560"/>
        <w:jc w:val="both"/>
        <w:spacing w:line="520" w:lineRule="exact"/>
        <w:widowControl w:val="off"/>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1、设计要求</w:t>
      </w:r>
      <w:r/>
    </w:p>
    <w:p>
      <w:pPr>
        <w:ind w:firstLine="567"/>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各投标人依据家具参考图片和现场勘察情况，按照招标文件有关要求、国家相关标准，设计出符合招标文件要求的家具样式。</w:t>
      </w:r>
      <w:r/>
    </w:p>
    <w:p>
      <w:pPr>
        <w:ind w:firstLine="510"/>
        <w:jc w:val="left"/>
        <w:spacing w:line="520" w:lineRule="exact"/>
        <w:widowControl/>
        <w:rPr>
          <w:rFonts w:hint="eastAsia" w:ascii="仿宋" w:hAnsi="仿宋" w:eastAsia="仿宋" w:cs="宋体"/>
          <w:sz w:val="28"/>
          <w:szCs w:val="28"/>
          <w:highlight w:val="yellow"/>
        </w:rPr>
      </w:pPr>
      <w:r>
        <w:rPr>
          <w:rFonts w:hint="eastAsia" w:ascii="仿宋" w:hAnsi="仿宋" w:eastAsia="仿宋" w:cs="Times New Roman"/>
          <w:sz w:val="28"/>
          <w:szCs w:val="28"/>
        </w:rPr>
        <w:t xml:space="preserve">中标后，家具生产与安装前，中标人须到现场进一步核实，确保家具生产、安装与现有房间空间不发生冲突，且满足学生正常生活功能需要，中标人在家具定型生产前，须提供一套定型产品，经采购人确认后方可进行生产供应。如需调整家具尺寸，须提前得到采购人的认可，由于尺寸问题影响安装的，由中标人承担相应的责任和费用。家具技术要求中的一些尺寸经采购人同意，中标人可进行适当、合理的调整，但材料质量、规格不得改变。</w:t>
      </w:r>
      <w:r>
        <w:rPr>
          <w:rFonts w:hint="eastAsia" w:ascii="仿宋" w:hAnsi="仿宋" w:eastAsia="仿宋" w:cs="宋体"/>
          <w:sz w:val="28"/>
          <w:szCs w:val="28"/>
          <w:highlight w:val="none"/>
        </w:rPr>
        <w:t xml:space="preserve">家具安装时间</w:t>
      </w:r>
      <w:r>
        <w:rPr>
          <w:rFonts w:hint="eastAsia" w:ascii="仿宋" w:hAnsi="仿宋" w:eastAsia="仿宋" w:cs="宋体"/>
          <w:sz w:val="28"/>
          <w:szCs w:val="28"/>
          <w:highlight w:val="none"/>
          <w:lang w:eastAsia="zh-CN"/>
        </w:rPr>
        <w:t xml:space="preserve">须严格按照采购人要求进行</w:t>
      </w:r>
      <w:r>
        <w:rPr>
          <w:rFonts w:hint="eastAsia" w:ascii="仿宋" w:hAnsi="仿宋" w:eastAsia="仿宋" w:cs="宋体"/>
          <w:sz w:val="28"/>
          <w:szCs w:val="28"/>
          <w:highlight w:val="none"/>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需勘察现场的投标人，可以与采购人另行联系现场勘察事宜；未勘察现场的投标人视同已经了解学校相关宿舍现状，理解招标文件有关要求。现场勘察联系人:</w:t>
      </w:r>
      <w:r>
        <w:rPr>
          <w:rFonts w:hint="eastAsia" w:ascii="仿宋" w:hAnsi="仿宋" w:eastAsia="仿宋" w:cs="Times New Roman"/>
          <w:sz w:val="28"/>
          <w:szCs w:val="28"/>
          <w:lang w:val="en-US" w:eastAsia="zh-CN"/>
        </w:rPr>
        <w:t xml:space="preserve">梁主任</w:t>
      </w:r>
      <w:r>
        <w:rPr>
          <w:rFonts w:hint="eastAsia" w:ascii="仿宋" w:hAnsi="仿宋" w:eastAsia="仿宋" w:cs="Times New Roman"/>
          <w:sz w:val="28"/>
          <w:szCs w:val="28"/>
        </w:rPr>
        <w:t xml:space="preserve">，联系电话:0517</w:t>
      </w: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rPr>
        <w:t xml:space="preserve">83640930。勘察地点:</w:t>
      </w:r>
      <w:r>
        <w:rPr>
          <w:rFonts w:hint="eastAsia" w:ascii="仿宋" w:hAnsi="仿宋" w:eastAsia="仿宋" w:cs="Times New Roman"/>
          <w:sz w:val="28"/>
          <w:szCs w:val="28"/>
          <w:lang w:val="en-US" w:eastAsia="zh-CN"/>
        </w:rPr>
        <w:t xml:space="preserve">江苏省清河中学</w:t>
      </w:r>
      <w:r>
        <w:rPr>
          <w:rFonts w:hint="eastAsia" w:ascii="仿宋" w:hAnsi="仿宋" w:eastAsia="仿宋" w:cs="Times New Roman"/>
          <w:sz w:val="28"/>
          <w:szCs w:val="28"/>
        </w:rPr>
        <w:t xml:space="preserve">。</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质量标准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投标人所供应的产品必须是符合国家技术规范和质量标准的出厂原装合格产品，符合采购人的采购要求，并保证其在正常使用和维护保养条件下，在其使用寿命周期内具有满意的性能。投标人须提供绿色环保家具，所使用的主辅材料应符合国家环保标准，中标人应在竣工验收前提供家具材质清单、原材料检验报告、材料产地证明。采购人对进场家具进</w:t>
      </w:r>
      <w:r>
        <w:rPr>
          <w:rFonts w:hint="eastAsia" w:ascii="仿宋" w:hAnsi="仿宋" w:eastAsia="仿宋" w:cs="Times New Roman"/>
          <w:sz w:val="28"/>
          <w:szCs w:val="28"/>
          <w:highlight w:val="none"/>
        </w:rPr>
        <w:t xml:space="preserve">行</w:t>
      </w:r>
      <w:r>
        <w:rPr>
          <w:rFonts w:hint="eastAsia" w:ascii="仿宋" w:hAnsi="仿宋" w:eastAsia="仿宋" w:cs="Times New Roman"/>
          <w:sz w:val="28"/>
          <w:szCs w:val="28"/>
          <w:highlight w:val="none"/>
          <w:lang w:eastAsia="zh-CN"/>
        </w:rPr>
        <w:t xml:space="preserve">整套</w:t>
      </w:r>
      <w:r>
        <w:rPr>
          <w:rFonts w:hint="eastAsia" w:ascii="仿宋" w:hAnsi="仿宋" w:eastAsia="仿宋" w:cs="Times New Roman"/>
          <w:sz w:val="28"/>
          <w:szCs w:val="28"/>
          <w:highlight w:val="none"/>
        </w:rPr>
        <w:t xml:space="preserve">抽样，送到具有资质的第三方检验机构检验，检验报告需符合</w:t>
      </w:r>
      <w:r>
        <w:rPr>
          <w:rFonts w:hint="eastAsia" w:ascii="仿宋" w:hAnsi="仿宋" w:eastAsia="仿宋" w:cs="Times New Roman"/>
          <w:sz w:val="28"/>
          <w:szCs w:val="28"/>
          <w:highlight w:val="none"/>
          <w:lang w:val="en-US" w:eastAsia="zh-CN"/>
        </w:rPr>
        <w:t xml:space="preserve">QB/T2741-2013《学生公寓多功能家具》、</w:t>
      </w:r>
      <w:r>
        <w:rPr>
          <w:rFonts w:hint="eastAsia" w:ascii="仿宋" w:hAnsi="仿宋" w:eastAsia="仿宋" w:cs="Times New Roman"/>
          <w:sz w:val="28"/>
          <w:szCs w:val="28"/>
          <w:highlight w:val="none"/>
        </w:rPr>
        <w:t xml:space="preserve">GB/T 3324-2017</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木用家具通用技术条件</w:t>
      </w:r>
      <w:r>
        <w:rPr>
          <w:rFonts w:hint="eastAsia" w:ascii="仿宋" w:hAnsi="仿宋" w:eastAsia="仿宋" w:cs="Times New Roman"/>
          <w:sz w:val="28"/>
          <w:szCs w:val="28"/>
          <w:highlight w:val="none"/>
          <w:lang w:eastAsia="zh-CN"/>
        </w:rPr>
        <w:t xml:space="preserve">》、</w:t>
      </w:r>
      <w:r>
        <w:rPr>
          <w:rFonts w:hint="eastAsia" w:ascii="仿宋" w:hAnsi="仿宋" w:eastAsia="仿宋" w:cs="宋体"/>
          <w:sz w:val="28"/>
          <w:szCs w:val="28"/>
          <w:highlight w:val="none"/>
        </w:rPr>
        <w:t xml:space="preserve">GB18580-2017《室内装饰装修材料人造板及其制品中甲醛释放限量》</w:t>
      </w:r>
      <w:r>
        <w:rPr>
          <w:rFonts w:hint="eastAsia" w:ascii="仿宋" w:hAnsi="仿宋" w:eastAsia="仿宋" w:cs="Times New Roman"/>
          <w:sz w:val="28"/>
          <w:szCs w:val="28"/>
        </w:rPr>
        <w:t xml:space="preserve">等国家有关标准规范规定的合格标准以及符合本次招标文件的要求。若检测、验收不合格，采购人有权退货、要求中标人赔偿损失等。</w:t>
      </w:r>
      <w:r/>
    </w:p>
    <w:p>
      <w:pPr>
        <w:jc w:val="both"/>
        <w:spacing w:line="52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四、质保期限</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本项目整体免费质保</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rPr>
        <w:t xml:space="preserve">年。</w:t>
      </w:r>
      <w:r/>
    </w:p>
    <w:p>
      <w:pPr>
        <w:jc w:val="both"/>
        <w:spacing w:line="52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五、商务部分</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（一）供货时间:</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sz w:val="28"/>
          <w:szCs w:val="28"/>
        </w:rPr>
        <w:t xml:space="preserve">合同签订后</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日内交货并完成安装、调试并经验收合格。   </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（二）供货地点:由采购人指定。</w:t>
      </w:r>
      <w:r/>
    </w:p>
    <w:p>
      <w:pPr>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（三）付款方式</w:t>
      </w:r>
      <w:r>
        <w:rPr>
          <w:rFonts w:hint="eastAsia" w:ascii="仿宋" w:hAnsi="仿宋" w:eastAsia="仿宋" w:cs="Times New Roman"/>
          <w:sz w:val="28"/>
          <w:szCs w:val="28"/>
          <w:highlight w:val="none"/>
        </w:rPr>
        <w:t xml:space="preserve">:第一次付款：自合同签订之日后30日内采购人向中标人支付货物总价的20%；第二次付款：供货安装后30日内支付到货物总价的70%；第三次付款：验收合格后30日内付清余款。</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七、其他要求</w:t>
      </w:r>
      <w:r/>
    </w:p>
    <w:p>
      <w:pPr>
        <w:ind w:firstLine="567"/>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中标人可到现场进行实地勘测，根据宿舍实际情况进行合理设计。墙壁面板及插孔须露出，安装时不得破坏宿舍内外一切原有设施。</w:t>
      </w:r>
      <w:r/>
    </w:p>
    <w:p>
      <w:pPr>
        <w:ind w:firstLine="567"/>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中标人在家具定型生产前，须提供一套定型产品，经采购人确认后方可进行生产供应。</w:t>
      </w:r>
      <w:r/>
    </w:p>
    <w:p>
      <w:pPr>
        <w:ind w:firstLine="567"/>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本项目投标报价包括货物、安装、调试、配件、税金、包装、运输、装卸、保管及后续服务等从项目成交起到项目正式交付以及质保期内所发生的一切费用。投标人参加投标前应进行现场勘查，供货、安装等所有费用需全部包含在报价中，不得在安装后要求增加费用。</w:t>
      </w:r>
      <w:r/>
    </w:p>
    <w:p>
      <w:pPr>
        <w:ind w:firstLine="567"/>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4、中标人应在采购人规定时间内完成安装调试保洁，考虑暑期暴雨及酷暑影响，若不能按期保质完成生产及安装任务，由此带来的损失由中标人负责。</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jc w:val="both"/>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both"/>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both"/>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both"/>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both"/>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both"/>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910"/>
        <w:rPr>
          <w:rFonts w:ascii="黑体" w:hAnsi="黑体" w:eastAsia="黑体"/>
          <w:color w:val="auto"/>
          <w:sz w:val="44"/>
          <w:szCs w:val="44"/>
          <w:highlight w:val="none"/>
        </w:rPr>
      </w:pPr>
      <w:r>
        <w:rPr>
          <w:rFonts w:ascii="黑体" w:hAnsi="黑体" w:eastAsia="黑体"/>
          <w:color w:val="auto"/>
          <w:sz w:val="44"/>
          <w:szCs w:val="44"/>
          <w:highlight w:val="none"/>
        </w:rPr>
      </w:r>
      <w:r/>
    </w:p>
    <w:p>
      <w:pPr>
        <w:pStyle w:val="910"/>
        <w:rPr>
          <w:rFonts w:ascii="黑体" w:hAnsi="黑体" w:eastAsia="黑体"/>
          <w:color w:val="auto"/>
          <w:sz w:val="32"/>
          <w:highlight w:val="none"/>
        </w:rPr>
      </w:pPr>
      <w:r>
        <w:rPr>
          <w:rFonts w:ascii="黑体" w:hAnsi="黑体" w:eastAsia="黑体"/>
          <w:color w:val="auto"/>
          <w:sz w:val="32"/>
          <w:highlight w:val="none"/>
        </w:rPr>
      </w:r>
      <w:r/>
    </w:p>
    <w:p>
      <w:pPr>
        <w:pStyle w:val="910"/>
        <w:rPr>
          <w:rFonts w:ascii="黑体" w:hAnsi="黑体" w:eastAsia="黑体"/>
          <w:color w:val="auto"/>
          <w:sz w:val="32"/>
          <w:highlight w:val="none"/>
        </w:rPr>
      </w:pPr>
      <w:r>
        <w:rPr>
          <w:rFonts w:ascii="黑体" w:hAnsi="黑体" w:eastAsia="黑体"/>
          <w:color w:val="auto"/>
          <w:sz w:val="32"/>
          <w:highlight w:val="none"/>
        </w:rPr>
      </w:r>
      <w:r/>
    </w:p>
    <w:p>
      <w:pPr>
        <w:pStyle w:val="910"/>
        <w:rPr>
          <w:rFonts w:ascii="黑体" w:hAnsi="黑体" w:eastAsia="黑体"/>
          <w:color w:val="auto"/>
          <w:sz w:val="32"/>
          <w:highlight w:val="none"/>
        </w:rPr>
      </w:pPr>
      <w:r>
        <w:rPr>
          <w:rFonts w:ascii="黑体" w:hAnsi="黑体" w:eastAsia="黑体"/>
          <w:color w:val="auto"/>
          <w:sz w:val="32"/>
          <w:highlight w:val="none"/>
        </w:rPr>
      </w:r>
      <w:r/>
    </w:p>
    <w:p>
      <w:pPr>
        <w:pStyle w:val="910"/>
        <w:rPr>
          <w:rFonts w:ascii="黑体" w:hAnsi="黑体" w:eastAsia="黑体"/>
          <w:color w:val="auto"/>
          <w:sz w:val="32"/>
          <w:highlight w:val="none"/>
        </w:rPr>
      </w:pPr>
      <w:r>
        <w:rPr>
          <w:rFonts w:ascii="黑体" w:hAnsi="黑体" w:eastAsia="黑体"/>
          <w:color w:val="auto"/>
          <w:sz w:val="32"/>
          <w:highlight w:val="none"/>
        </w:rPr>
      </w:r>
      <w:r/>
    </w:p>
    <w:p>
      <w:pPr>
        <w:ind w:firstLine="1084"/>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项 目 名 称:</w:t>
      </w:r>
      <w:r/>
    </w:p>
    <w:p>
      <w:pPr>
        <w:pStyle w:val="910"/>
        <w:rPr>
          <w:rFonts w:ascii="黑体" w:hAnsi="黑体" w:eastAsia="黑体"/>
          <w:color w:val="auto"/>
          <w:sz w:val="32"/>
          <w:highlight w:val="none"/>
        </w:rPr>
      </w:pPr>
      <w:r>
        <w:rPr>
          <w:rFonts w:ascii="黑体" w:hAnsi="黑体" w:eastAsia="黑体"/>
          <w:color w:val="auto"/>
          <w:sz w:val="32"/>
          <w:highlight w:val="none"/>
        </w:rPr>
      </w:r>
      <w:r/>
    </w:p>
    <w:p>
      <w:pPr>
        <w:pStyle w:val="910"/>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10"/>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910"/>
        <w:ind w:firstLine="1066"/>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招 标 编 号:</w:t>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ind w:firstLine="1066"/>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投标人名称:（加盖CA电子公章）</w:t>
      </w:r>
      <w:r/>
    </w:p>
    <w:p>
      <w:pPr>
        <w:ind w:firstLine="1066"/>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    </w:t>
      </w:r>
      <w:r/>
    </w:p>
    <w:p>
      <w:pPr>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066"/>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日       期：</w:t>
      </w:r>
      <w:r/>
    </w:p>
    <w:p>
      <w:pPr>
        <w:pStyle w:val="910"/>
        <w:ind w:firstLine="1904"/>
        <w:rPr>
          <w:rFonts w:ascii="黑体" w:hAnsi="黑体" w:eastAsia="黑体"/>
          <w:color w:val="auto"/>
          <w:sz w:val="32"/>
          <w:highlight w:val="none"/>
        </w:rPr>
      </w:pPr>
      <w:r>
        <w:rPr>
          <w:rFonts w:ascii="黑体" w:hAnsi="黑体" w:eastAsia="黑体"/>
          <w:color w:val="auto"/>
          <w:sz w:val="32"/>
          <w:highlight w:val="none"/>
        </w:rPr>
      </w:r>
      <w:r/>
    </w:p>
    <w:p>
      <w:pPr>
        <w:pStyle w:val="910"/>
        <w:ind w:firstLine="1904"/>
        <w:rPr>
          <w:rFonts w:ascii="黑体" w:hAnsi="黑体" w:eastAsia="黑体"/>
          <w:color w:val="auto"/>
          <w:sz w:val="32"/>
          <w:highlight w:val="none"/>
        </w:rPr>
      </w:pPr>
      <w:r>
        <w:rPr>
          <w:rFonts w:ascii="黑体" w:hAnsi="黑体" w:eastAsia="黑体"/>
          <w:color w:val="auto"/>
          <w:sz w:val="32"/>
          <w:highlight w:val="none"/>
        </w:rPr>
      </w:r>
      <w:r/>
    </w:p>
    <w:p>
      <w:pPr>
        <w:pStyle w:val="910"/>
        <w:ind w:firstLine="1904"/>
        <w:rPr>
          <w:rFonts w:ascii="黑体" w:hAnsi="黑体" w:eastAsia="黑体"/>
          <w:color w:val="auto"/>
          <w:sz w:val="32"/>
          <w:highlight w:val="none"/>
        </w:rPr>
      </w:pPr>
      <w:r>
        <w:rPr>
          <w:rFonts w:ascii="黑体" w:hAnsi="黑体" w:eastAsia="黑体"/>
          <w:color w:val="auto"/>
          <w:sz w:val="32"/>
          <w:highlight w:val="none"/>
        </w:rPr>
      </w:r>
      <w:r/>
    </w:p>
    <w:p>
      <w:pPr>
        <w:pStyle w:val="910"/>
        <w:ind w:firstLine="1904"/>
        <w:rPr>
          <w:rFonts w:ascii="黑体" w:hAnsi="黑体" w:eastAsia="黑体"/>
          <w:color w:val="auto"/>
          <w:sz w:val="32"/>
          <w:highlight w:val="none"/>
        </w:rPr>
      </w:pPr>
      <w:r>
        <w:rPr>
          <w:rFonts w:ascii="黑体" w:hAnsi="黑体" w:eastAsia="黑体"/>
          <w:color w:val="auto"/>
          <w:sz w:val="32"/>
          <w:highlight w:val="none"/>
        </w:rPr>
      </w:r>
      <w:r/>
    </w:p>
    <w:p>
      <w:pPr>
        <w:pStyle w:val="910"/>
        <w:ind w:firstLine="1904"/>
        <w:rPr>
          <w:rFonts w:ascii="黑体" w:hAnsi="黑体" w:eastAsia="黑体"/>
          <w:color w:val="auto"/>
          <w:sz w:val="32"/>
          <w:highlight w:val="none"/>
        </w:rPr>
      </w:pPr>
      <w:r>
        <w:rPr>
          <w:rFonts w:ascii="黑体" w:hAnsi="黑体" w:eastAsia="黑体"/>
          <w:color w:val="auto"/>
          <w:sz w:val="32"/>
          <w:highlight w:val="none"/>
        </w:rPr>
      </w:r>
      <w:r/>
    </w:p>
    <w:p>
      <w:pPr>
        <w:pStyle w:val="910"/>
        <w:ind w:firstLine="1904"/>
        <w:rPr>
          <w:rFonts w:ascii="黑体" w:hAnsi="黑体" w:eastAsia="黑体"/>
          <w:color w:val="auto"/>
          <w:sz w:val="32"/>
          <w:highlight w:val="none"/>
        </w:rPr>
      </w:pPr>
      <w:r>
        <w:rPr>
          <w:rFonts w:ascii="黑体" w:hAnsi="黑体" w:eastAsia="黑体"/>
          <w:color w:val="auto"/>
          <w:sz w:val="32"/>
          <w:highlight w:val="none"/>
        </w:rPr>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910"/>
        <w:ind w:firstLine="3855"/>
        <w:spacing w:line="640" w:lineRule="exact"/>
        <w:rPr>
          <w:rFonts w:ascii="仿宋" w:hAnsi="仿宋" w:eastAsia="仿宋"/>
          <w:b/>
          <w:color w:val="auto"/>
          <w:sz w:val="32"/>
          <w:szCs w:val="32"/>
          <w:highlight w:val="none"/>
        </w:rPr>
      </w:pPr>
      <w:r/>
      <w:bookmarkStart w:id="38" w:name="OLE_LINK14"/>
      <w:r/>
      <w:bookmarkStart w:id="39" w:name="OLE_LINK7"/>
      <w:r>
        <w:rPr>
          <w:rFonts w:hint="eastAsia" w:ascii="仿宋" w:hAnsi="仿宋" w:eastAsia="仿宋"/>
          <w:b/>
          <w:color w:val="auto"/>
          <w:sz w:val="32"/>
          <w:szCs w:val="32"/>
          <w:highlight w:val="none"/>
        </w:rPr>
        <w:t xml:space="preserve">一、投标函</w:t>
      </w:r>
      <w:r/>
    </w:p>
    <w:p>
      <w:pPr>
        <w:pStyle w:val="910"/>
        <w:spacing w:line="640" w:lineRule="exact"/>
        <w:rPr>
          <w:rFonts w:hint="eastAsia" w:ascii="仿宋" w:hAnsi="仿宋" w:eastAsia="仿宋" w:cs="Times New Roman"/>
          <w:color w:val="auto"/>
          <w:sz w:val="28"/>
          <w:szCs w:val="24"/>
          <w:highlight w:val="none"/>
        </w:rPr>
      </w:pPr>
      <w:r>
        <w:rPr>
          <w:rFonts w:hint="eastAsia" w:ascii="仿宋" w:hAnsi="仿宋" w:eastAsia="仿宋" w:cs="Times New Roman"/>
          <w:color w:val="auto"/>
          <w:sz w:val="28"/>
          <w:szCs w:val="24"/>
          <w:highlight w:val="none"/>
          <w:lang w:eastAsia="zh-CN"/>
        </w:rPr>
        <w:t xml:space="preserve">江苏省清河中学</w:t>
      </w:r>
      <w:r>
        <w:rPr>
          <w:rFonts w:hint="eastAsia" w:ascii="仿宋" w:hAnsi="仿宋" w:eastAsia="仿宋" w:cs="Times New Roman"/>
          <w:color w:val="auto"/>
          <w:sz w:val="28"/>
          <w:szCs w:val="24"/>
          <w:highlight w:val="none"/>
        </w:rPr>
        <w:t xml:space="preserve">:</w:t>
      </w:r>
      <w:r/>
    </w:p>
    <w:p>
      <w:pPr>
        <w:pStyle w:val="960"/>
        <w:ind w:firstLine="70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spacing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60"/>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3、我们接受招标文件的所有的条款和规定。</w:t>
      </w:r>
      <w:r/>
    </w:p>
    <w:p>
      <w:pPr>
        <w:pStyle w:val="960"/>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60"/>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60"/>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60"/>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60"/>
        <w:ind w:right="560" w:firstLine="2940"/>
        <w:spacing w:before="0" w:after="0" w:line="640" w:lineRule="exact"/>
        <w:rPr>
          <w:rFonts w:ascii="仿宋" w:hAnsi="仿宋" w:eastAsia="仿宋"/>
          <w:color w:val="auto"/>
          <w:sz w:val="28"/>
          <w:highlight w:val="none"/>
        </w:rPr>
      </w:pPr>
      <w:r>
        <w:rPr>
          <w:rFonts w:ascii="仿宋" w:hAnsi="仿宋" w:eastAsia="仿宋"/>
          <w:color w:val="auto"/>
          <w:sz w:val="28"/>
          <w:highlight w:val="none"/>
        </w:rPr>
      </w:r>
      <w:r/>
    </w:p>
    <w:p>
      <w:pPr>
        <w:pStyle w:val="960"/>
        <w:ind w:right="560" w:firstLine="2940"/>
        <w:spacing w:before="0" w:after="0" w:line="64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60"/>
        <w:ind w:right="560" w:firstLine="294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10"/>
        <w:ind w:right="560" w:firstLine="420"/>
        <w:jc w:val="center"/>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bookmarkEnd w:id="38"/>
      <w:r/>
      <w:bookmarkEnd w:id="39"/>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910"/>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before="19" w:line="440" w:lineRule="exact"/>
        <w:widowControl/>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widowControl/>
        <w:rPr>
          <w:rFonts w:hint="eastAsia" w:ascii="仿宋" w:hAnsi="仿宋" w:eastAsia="仿宋"/>
          <w:b/>
          <w:sz w:val="32"/>
          <w:szCs w:val="32"/>
          <w:highlight w:val="none"/>
        </w:rPr>
      </w:pPr>
      <w:r/>
      <w:bookmarkStart w:id="40" w:name="_Toc157775468"/>
      <w:r>
        <w:rPr>
          <w:rFonts w:hint="eastAsia" w:ascii="仿宋" w:hAnsi="仿宋" w:eastAsia="仿宋"/>
          <w:b/>
          <w:sz w:val="32"/>
          <w:szCs w:val="32"/>
          <w:highlight w:val="none"/>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8149"/>
      </w:tblGrid>
      <w:tr>
        <w:trPr>
          <w:cantSplit/>
          <w:trHeight w:val="1398" w:hRule="exact"/>
        </w:trPr>
        <w:tc>
          <w:tcPr>
            <w:tcW w:w="1701" w:type="dxa"/>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8149" w:type="dxa"/>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8149" w:type="dxa"/>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sz w:val="28"/>
                <w:szCs w:val="28"/>
              </w:rPr>
            </w:pPr>
            <w:r>
              <w:rPr>
                <w:rFonts w:hint="eastAsia" w:ascii="仿宋" w:hAnsi="仿宋" w:eastAsia="仿宋"/>
                <w:sz w:val="28"/>
                <w:szCs w:val="28"/>
                <w:highlight w:val="none"/>
              </w:rPr>
              <w:t xml:space="preserve">核心品牌</w:t>
            </w:r>
            <w:r/>
          </w:p>
        </w:tc>
        <w:tc>
          <w:tcPr>
            <w:tcW w:w="8149" w:type="dxa"/>
            <w:vAlign w:val="center"/>
            <w:textDirection w:val="lrTb"/>
            <w:noWrap w:val="false"/>
          </w:tcPr>
          <w:p>
            <w:pPr>
              <w:ind w:firstLine="1540"/>
              <w:rPr>
                <w:rFonts w:hint="eastAsia" w:ascii="仿宋" w:hAnsi="仿宋" w:eastAsia="仿宋"/>
                <w:sz w:val="28"/>
                <w:szCs w:val="28"/>
              </w:rPr>
            </w:pPr>
            <w:r>
              <w:rPr>
                <w:rFonts w:hint="eastAsia" w:ascii="仿宋" w:hAnsi="仿宋" w:eastAsia="仿宋"/>
                <w:sz w:val="28"/>
                <w:szCs w:val="28"/>
              </w:rPr>
              <w:t xml:space="preserve"> </w:t>
            </w:r>
            <w:r/>
          </w:p>
        </w:tc>
      </w:tr>
    </w:tbl>
    <w:p>
      <w:pPr>
        <w:ind w:firstLine="411"/>
        <w:spacing w:line="440" w:lineRule="exact"/>
        <w:rPr>
          <w:rFonts w:hint="eastAsia" w:ascii="仿宋" w:hAnsi="仿宋" w:eastAsia="仿宋"/>
          <w:sz w:val="28"/>
          <w:szCs w:val="28"/>
        </w:rPr>
      </w:pPr>
      <w:r/>
      <w:bookmarkStart w:id="41" w:name="_Toc136924766"/>
      <w:r/>
      <w:bookmarkStart w:id="42" w:name="_Toc157775459"/>
      <w:r/>
      <w:bookmarkEnd w:id="41"/>
      <w:r/>
      <w:bookmarkEnd w:id="42"/>
      <w:r/>
      <w:r/>
    </w:p>
    <w:p>
      <w:pPr>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ind w:firstLine="2875"/>
        <w:rPr>
          <w:rFonts w:hint="eastAsia" w:hAnsi="宋体"/>
          <w:b/>
          <w:sz w:val="32"/>
          <w:szCs w:val="32"/>
        </w:rPr>
      </w:pPr>
      <w:r>
        <w:rPr>
          <w:rFonts w:hint="eastAsia" w:hAnsi="宋体"/>
          <w:b/>
          <w:sz w:val="32"/>
          <w:szCs w:val="32"/>
        </w:rPr>
      </w:r>
      <w:r/>
    </w:p>
    <w:p>
      <w:pPr>
        <w:pStyle w:val="982"/>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982"/>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84"/>
        <w:tblW w:w="9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1655"/>
      </w:tblGrid>
      <w:tr>
        <w:trPr>
          <w:trHeight w:val="544"/>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产地</w:t>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993"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417"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655" w:type="dxa"/>
            <w:vAlign w:val="center"/>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8330" w:type="dxa"/>
            <w:vAlign w:val="center"/>
            <w:textDirection w:val="lrTb"/>
            <w:noWrap w:val="false"/>
          </w:tcPr>
          <w:p>
            <w:pPr>
              <w:pStyle w:val="982"/>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1655" w:type="dxa"/>
            <w:vAlign w:val="top"/>
            <w:textDirection w:val="lrTb"/>
            <w:noWrap w:val="false"/>
          </w:tcPr>
          <w:p>
            <w:pPr>
              <w:pStyle w:val="982"/>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82"/>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82"/>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82"/>
        <w:ind w:firstLine="691"/>
        <w:spacing w:line="440" w:lineRule="exact"/>
        <w:rPr>
          <w:rFonts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982"/>
        <w:ind w:firstLine="411"/>
        <w:spacing w:line="440" w:lineRule="exact"/>
        <w:rPr>
          <w:rFonts w:ascii="仿宋" w:hAnsi="仿宋" w:eastAsia="仿宋"/>
          <w:sz w:val="28"/>
          <w:szCs w:val="24"/>
        </w:rPr>
      </w:pPr>
      <w:r>
        <w:rPr>
          <w:rFonts w:ascii="仿宋" w:hAnsi="仿宋" w:eastAsia="仿宋"/>
          <w:sz w:val="28"/>
          <w:szCs w:val="24"/>
        </w:rPr>
        <w:t xml:space="preserve"> </w:t>
      </w:r>
      <w:r/>
    </w:p>
    <w:p>
      <w:pPr>
        <w:pStyle w:val="982"/>
        <w:ind w:firstLine="411"/>
        <w:spacing w:line="440" w:lineRule="exact"/>
        <w:rPr>
          <w:rFonts w:ascii="仿宋" w:hAnsi="仿宋" w:eastAsia="仿宋"/>
          <w:sz w:val="28"/>
          <w:szCs w:val="24"/>
        </w:rPr>
      </w:pPr>
      <w:r>
        <w:rPr>
          <w:rFonts w:ascii="仿宋" w:hAnsi="仿宋" w:eastAsia="仿宋"/>
          <w:sz w:val="28"/>
          <w:szCs w:val="24"/>
        </w:rPr>
        <w:t xml:space="preserve"> </w:t>
      </w:r>
      <w:r/>
    </w:p>
    <w:p>
      <w:pPr>
        <w:pStyle w:val="982"/>
        <w:jc w:val="center"/>
        <w:spacing w:line="440" w:lineRule="exact"/>
        <w:rPr>
          <w:rFonts w:hint="eastAsia" w:ascii="仿宋" w:hAnsi="仿宋" w:eastAsia="仿宋"/>
          <w:b/>
          <w:sz w:val="32"/>
        </w:rPr>
      </w:pPr>
      <w:r>
        <w:rPr>
          <w:rFonts w:hint="eastAsia" w:ascii="仿宋" w:hAnsi="仿宋" w:eastAsia="仿宋"/>
          <w:b/>
          <w:sz w:val="32"/>
        </w:rPr>
      </w:r>
      <w:r/>
    </w:p>
    <w:p>
      <w:pPr>
        <w:pStyle w:val="982"/>
        <w:jc w:val="center"/>
        <w:spacing w:line="440" w:lineRule="exact"/>
        <w:rPr>
          <w:rFonts w:hint="eastAsia" w:ascii="仿宋" w:hAnsi="仿宋" w:eastAsia="仿宋"/>
          <w:b/>
          <w:sz w:val="32"/>
        </w:rPr>
      </w:pPr>
      <w:r>
        <w:rPr>
          <w:rFonts w:hint="eastAsia" w:ascii="仿宋" w:hAnsi="仿宋" w:eastAsia="仿宋"/>
          <w:b/>
          <w:sz w:val="32"/>
        </w:rPr>
      </w:r>
      <w:r/>
    </w:p>
    <w:p>
      <w:pPr>
        <w:pStyle w:val="982"/>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84"/>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905"/>
        <w:gridCol w:w="1377"/>
        <w:gridCol w:w="1118"/>
      </w:tblGrid>
      <w:tr>
        <w:trPr>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1377" w:type="dxa"/>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905"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77"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118"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90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0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0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0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0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82"/>
        <w:ind w:firstLine="948"/>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982"/>
        <w:ind w:firstLine="948"/>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pStyle w:val="982"/>
        <w:ind w:firstLine="948"/>
        <w:spacing w:line="520" w:lineRule="exact"/>
        <w:rPr>
          <w:rFonts w:hint="eastAsia" w:ascii="仿宋" w:hAnsi="仿宋" w:eastAsia="仿宋"/>
          <w:b/>
          <w:bCs/>
          <w:sz w:val="32"/>
          <w:szCs w:val="32"/>
          <w:highlight w:val="none"/>
        </w:rPr>
      </w:pP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98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bCs/>
          <w:sz w:val="28"/>
          <w:szCs w:val="28"/>
        </w:rPr>
        <w:t xml:space="preserve">（加盖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val="zh-CN"/>
        </w:rPr>
        <w:t xml:space="preserve">3、提供营业执照或事业单位法人证书。（提供原件扫描件并加盖供应商电子签章）；</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w:t>
      </w:r>
      <w:r>
        <w:rPr>
          <w:rFonts w:hint="eastAsia" w:ascii="仿宋" w:hAnsi="仿宋" w:eastAsia="仿宋"/>
          <w:bCs/>
          <w:sz w:val="28"/>
          <w:szCs w:val="28"/>
          <w:lang w:val="en-US" w:eastAsia="zh-CN"/>
        </w:rPr>
        <w:t xml:space="preserve">五</w:t>
      </w:r>
      <w:r>
        <w:rPr>
          <w:rFonts w:hint="eastAsia" w:ascii="仿宋" w:hAnsi="仿宋" w:eastAsia="仿宋"/>
          <w:bCs/>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w:t>
      </w:r>
      <w:bookmarkStart w:id="48" w:name="_GoBack"/>
      <w:r/>
      <w:bookmarkEnd w:id="48"/>
      <w:r>
        <w:rPr>
          <w:rFonts w:hint="eastAsia" w:ascii="仿宋" w:hAnsi="仿宋" w:eastAsia="仿宋"/>
          <w:sz w:val="28"/>
          <w:szCs w:val="28"/>
          <w:lang w:val="en-US" w:eastAsia="zh-CN"/>
        </w:rPr>
        <w:t xml:space="preserve">、拒绝下述条件的供应商参加本次采购活动: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（1）供应商单位负责人为同一人或者存在直接控股、管理关系的不同供应商，不得同时参加同一合同项下的政府采购活动。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（2）凡为采购项目提供整体设计、规范编制或者项目管理、监理、检测等服务的供应商，不得再参加本项目的采购活动。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（3）投标人被“信用中国”网站、“中国政府采购网”列入失信被执行人、重大税收违法案件当事人名单、政府采购严重违法失信行为记录名单。</w:t>
      </w:r>
      <w:r>
        <w:rPr>
          <w:rFonts w:hint="eastAsia" w:ascii="仿宋" w:hAnsi="仿宋" w:eastAsia="仿宋" w:cs="仿宋"/>
          <w:b/>
          <w:bCs/>
          <w:color w:val="auto"/>
          <w:sz w:val="28"/>
          <w:szCs w:val="28"/>
          <w:highlight w:val="none"/>
        </w:rPr>
        <w:t xml:space="preserve">（详见示范格式四，提供承诺书原件扫描件并加盖供应商电子签章）</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jc w:val="center"/>
        <w:spacing w:line="520" w:lineRule="exact"/>
        <w:widowControl/>
        <w:rPr>
          <w:rFonts w:hint="eastAsia" w:ascii="仿宋" w:hAnsi="仿宋" w:eastAsia="仿宋" w:cs="Arial"/>
          <w:b/>
          <w:bCs/>
          <w:sz w:val="32"/>
        </w:rPr>
      </w:pPr>
      <w:r>
        <w:rPr>
          <w:rFonts w:ascii="宋体" w:hAnsi="宋体"/>
          <w:b/>
          <w:sz w:val="36"/>
        </w:rPr>
        <w:br w:type="page" w:clear="all"/>
      </w:r>
      <w:r>
        <w:rPr>
          <w:rFonts w:hint="eastAsia" w:ascii="仿宋" w:hAnsi="仿宋" w:eastAsia="仿宋" w:cs="Arial"/>
          <w:b/>
          <w:bCs/>
          <w:sz w:val="32"/>
        </w:rPr>
        <w:t xml:space="preserve">六、综合评分时投标人需提供的证明文件</w:t>
      </w:r>
      <w:r/>
    </w:p>
    <w:p>
      <w:pPr>
        <w:ind w:firstLine="1400"/>
        <w:spacing w:line="520" w:lineRule="exact"/>
        <w:rPr>
          <w:rFonts w:hint="eastAsia" w:ascii="宋体" w:hAnsi="宋体"/>
          <w:b/>
          <w:sz w:val="36"/>
        </w:rPr>
      </w:pPr>
      <w:r>
        <w:rPr>
          <w:rFonts w:hint="eastAsia" w:ascii="仿宋" w:hAnsi="仿宋" w:eastAsia="仿宋" w:cs="楷体_GB2312"/>
          <w:sz w:val="28"/>
          <w:szCs w:val="28"/>
          <w:lang w:val="zh-CN"/>
        </w:rPr>
        <w:t xml:space="preserve">（供应商根据第三章评标标准的要求提供相关材料）</w:t>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r/>
    </w:p>
    <w:p>
      <w:pPr>
        <w:pStyle w:val="910"/>
        <w:ind w:firstLine="2875"/>
        <w:rPr>
          <w:rFonts w:hAnsi="宋体"/>
          <w:b/>
          <w:color w:val="auto"/>
          <w:sz w:val="32"/>
          <w:szCs w:val="32"/>
          <w:highlight w:val="none"/>
        </w:rPr>
      </w:pPr>
      <w:r>
        <w:rPr>
          <w:rFonts w:hAnsi="宋体"/>
          <w:b/>
          <w:color w:val="auto"/>
          <w:sz w:val="32"/>
          <w:szCs w:val="32"/>
          <w:highlight w:val="none"/>
        </w:rPr>
      </w:r>
      <w:bookmarkEnd w:id="40"/>
      <w:r/>
      <w:r/>
    </w:p>
    <w:p>
      <w:pPr>
        <w:pStyle w:val="910"/>
        <w:ind w:firstLine="2875"/>
        <w:rPr>
          <w:rFonts w:hAnsi="宋体"/>
          <w:b/>
          <w:color w:val="auto"/>
          <w:sz w:val="32"/>
          <w:szCs w:val="32"/>
          <w:highlight w:val="none"/>
        </w:rPr>
      </w:pPr>
      <w:r>
        <w:rPr>
          <w:rFonts w:hAnsi="宋体"/>
          <w:b/>
          <w:color w:val="auto"/>
          <w:sz w:val="32"/>
          <w:szCs w:val="32"/>
          <w:highlight w:val="none"/>
        </w:rPr>
      </w:r>
      <w:r/>
    </w:p>
    <w:p>
      <w:pPr>
        <w:ind w:firstLine="157"/>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ind w:firstLine="1428"/>
        <w:jc w:val="left"/>
        <w:spacing w:line="520" w:lineRule="exact"/>
        <w:widowControl/>
        <w:rPr>
          <w:rFonts w:ascii="宋体" w:hAnsi="宋体"/>
          <w:b/>
          <w:color w:val="auto"/>
          <w:sz w:val="36"/>
          <w:highlight w:val="none"/>
        </w:rPr>
      </w:pPr>
      <w:r>
        <w:rPr>
          <w:rFonts w:ascii="宋体" w:hAnsi="宋体"/>
          <w:b/>
          <w:color w:val="auto"/>
          <w:sz w:val="36"/>
          <w:highlight w:val="none"/>
        </w:rPr>
        <w:br w:type="page" w:clear="all"/>
      </w:r>
      <w:bookmarkStart w:id="43" w:name="_Toc157775454"/>
      <w:r/>
      <w:r/>
    </w:p>
    <w:p>
      <w:pPr>
        <w:ind w:firstLine="3855"/>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五、示范格式</w:t>
      </w:r>
      <w:r/>
    </w:p>
    <w:p>
      <w:pP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3"/>
      <w:r/>
      <w:r/>
    </w:p>
    <w:p>
      <w:pPr>
        <w:ind w:firstLine="2570"/>
        <w:spacing w:line="440" w:lineRule="exact"/>
        <w:rPr>
          <w:rFonts w:ascii="仿宋" w:hAnsi="仿宋" w:eastAsia="仿宋" w:cs="Arial"/>
          <w:b/>
          <w:bCs/>
          <w:color w:val="auto"/>
          <w:sz w:val="32"/>
          <w:highlight w:val="none"/>
        </w:rPr>
      </w:pPr>
      <w:r>
        <w:rPr>
          <w:rFonts w:ascii="仿宋" w:hAnsi="仿宋" w:eastAsia="仿宋" w:cs="Arial"/>
          <w:b/>
          <w:bCs/>
          <w:color w:val="auto"/>
          <w:sz w:val="32"/>
          <w:highlight w:val="none"/>
        </w:rPr>
      </w:r>
      <w:r/>
    </w:p>
    <w:p>
      <w:pPr>
        <w:ind w:firstLine="2891"/>
        <w:spacing w:line="640" w:lineRule="exact"/>
        <w:rPr>
          <w:rFonts w:ascii="仿宋" w:hAnsi="仿宋" w:eastAsia="仿宋" w:cs="楷体_GB2312"/>
          <w:b/>
          <w:bCs/>
          <w:color w:val="auto"/>
          <w:sz w:val="32"/>
          <w:szCs w:val="32"/>
          <w:highlight w:val="none"/>
          <w:lang w:val="zh-CN"/>
        </w:rPr>
      </w:pPr>
      <w:r/>
      <w:bookmarkStart w:id="44" w:name="OLE_LINK6"/>
      <w:r/>
      <w:bookmarkStart w:id="45" w:name="OLE_LINK13"/>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60"/>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bookmarkEnd w:id="44"/>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4498"/>
        <w:spacing w:line="520" w:lineRule="exact"/>
        <w:rPr>
          <w:rFonts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w:t>
      </w:r>
      <w:r>
        <w:rPr>
          <w:rFonts w:hint="eastAsia" w:ascii="仿宋" w:hAnsi="仿宋" w:eastAsia="仿宋" w:cs="Times New Roman"/>
          <w:bCs/>
          <w:color w:val="auto"/>
          <w:sz w:val="30"/>
          <w:szCs w:val="28"/>
          <w:highlight w:val="none"/>
          <w:lang w:eastAsia="zh-CN"/>
        </w:rPr>
        <w:t xml:space="preserve">江苏省清河中学</w:t>
      </w:r>
      <w:r>
        <w:rPr>
          <w:rFonts w:hint="eastAsia" w:ascii="仿宋" w:hAnsi="仿宋" w:eastAsia="仿宋" w:cs="Times New Roman"/>
          <w:bCs/>
          <w:color w:val="auto"/>
          <w:sz w:val="30"/>
          <w:szCs w:val="28"/>
          <w:highlight w:val="none"/>
        </w:rPr>
        <w:t xml:space="preserve">:</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淮安万顺工程项目咨询管理有限公司</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采购项目的政府采购活动，受托人有权在该招标活动中，以我单位的名义签署投标函和投标文件，与代理机构协商、澄清、解释，签订合同书并执行一切与此有关的事项。</w:t>
      </w:r>
      <w:r/>
    </w:p>
    <w:p>
      <w:pPr>
        <w:spacing w:line="52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ascii="仿宋" w:hAnsi="仿宋" w:eastAsia="仿宋"/>
          <w:bCs/>
          <w:color w:val="auto"/>
          <w:sz w:val="28"/>
          <w:highlight w:val="none"/>
        </w:rPr>
      </w:pPr>
      <w:r>
        <w:rPr>
          <w:rFonts w:ascii="仿宋" w:hAnsi="仿宋" w:eastAsia="仿宋"/>
          <w:bCs/>
          <w:color w:val="auto"/>
          <w:sz w:val="28"/>
          <w:highlight w:val="none"/>
        </w:rPr>
      </w:r>
      <w:r/>
    </w:p>
    <w:p>
      <w:pPr>
        <w:ind w:firstLine="560"/>
        <w:spacing w:line="520" w:lineRule="exact"/>
        <w:rPr>
          <w:rFonts w:ascii="仿宋" w:hAnsi="仿宋" w:eastAsia="仿宋"/>
          <w:color w:val="auto"/>
          <w:sz w:val="28"/>
          <w:szCs w:val="28"/>
          <w:highlight w:val="none"/>
        </w:rPr>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bookmarkEnd w:id="45"/>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示范格式三</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line="520" w:lineRule="exact"/>
        <w:rPr>
          <w:rFonts w:ascii="仿宋" w:hAnsi="仿宋" w:eastAsia="仿宋"/>
          <w:b/>
          <w:bCs/>
          <w:color w:val="auto"/>
          <w:sz w:val="32"/>
          <w:highlight w:val="none"/>
        </w:rPr>
      </w:pPr>
      <w:r/>
      <w:bookmarkStart w:id="46" w:name="OLE_LINK11"/>
      <w:r>
        <w:rPr>
          <w:rFonts w:hint="eastAsia" w:ascii="仿宋" w:hAnsi="仿宋" w:eastAsia="仿宋"/>
          <w:b/>
          <w:bCs/>
          <w:color w:val="auto"/>
          <w:sz w:val="32"/>
          <w:highlight w:val="none"/>
        </w:rPr>
        <w:t xml:space="preserve">符合《中华人民共和国政府采购法》第二十二条规定条件的声明函</w:t>
      </w:r>
      <w:r/>
    </w:p>
    <w:p>
      <w:pPr>
        <w:pStyle w:val="891"/>
        <w:ind w:firstLine="0"/>
        <w:spacing w:line="7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s="Times New Roman"/>
          <w:bCs/>
          <w:color w:val="auto"/>
          <w:sz w:val="28"/>
          <w:szCs w:val="28"/>
          <w:highlight w:val="none"/>
          <w:lang w:eastAsia="zh-CN"/>
        </w:rPr>
        <w:t xml:space="preserve">江苏省清河中学</w:t>
      </w:r>
      <w:r>
        <w:rPr>
          <w:rFonts w:hint="eastAsia" w:ascii="仿宋" w:hAnsi="仿宋" w:eastAsia="仿宋" w:cs="Times New Roman"/>
          <w:bCs/>
          <w:color w:val="auto"/>
          <w:sz w:val="28"/>
          <w:szCs w:val="28"/>
          <w:highlight w:val="none"/>
        </w:rPr>
        <w:t xml:space="preserve">:</w:t>
      </w:r>
      <w:r/>
    </w:p>
    <w:p>
      <w:pPr>
        <w:ind w:firstLine="84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我公司参加贵单位组织实施的（项目编号: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bookmarkEnd w:id="46"/>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ind w:left="-359" w:firstLine="357"/>
        <w:jc w:val="center"/>
        <w:spacing w:line="600" w:lineRule="exact"/>
        <w:rPr>
          <w:rFonts w:ascii="仿宋" w:hAnsi="仿宋" w:eastAsia="仿宋" w:cs="仿宋"/>
          <w:b/>
          <w:color w:val="auto"/>
          <w:sz w:val="32"/>
          <w:highlight w:val="none"/>
        </w:rPr>
      </w:pPr>
      <w:r>
        <w:rPr>
          <w:rFonts w:hint="eastAsia" w:ascii="仿宋" w:hAnsi="仿宋" w:eastAsia="仿宋" w:cs="仿宋"/>
          <w:b/>
          <w:color w:val="auto"/>
          <w:sz w:val="32"/>
          <w:highlight w:val="none"/>
        </w:rPr>
        <w:t xml:space="preserve">承诺书</w:t>
      </w:r>
      <w:r/>
    </w:p>
    <w:p>
      <w:pPr>
        <w:ind w:left="-359" w:firstLine="357"/>
        <w:spacing w:line="600" w:lineRule="exact"/>
        <w:rPr>
          <w:rFonts w:ascii="仿宋" w:hAnsi="仿宋" w:eastAsia="仿宋" w:cs="仿宋"/>
          <w:b/>
          <w:color w:val="auto"/>
          <w:sz w:val="32"/>
          <w:highlight w:val="none"/>
        </w:rPr>
      </w:pPr>
      <w:r>
        <w:rPr>
          <w:rFonts w:ascii="仿宋" w:hAnsi="仿宋" w:eastAsia="仿宋" w:cs="仿宋"/>
          <w:b/>
          <w:color w:val="auto"/>
          <w:sz w:val="32"/>
          <w:highlight w:val="none"/>
        </w:rPr>
      </w:r>
      <w:r/>
    </w:p>
    <w:p>
      <w:pPr>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我单位符合下列要求：</w:t>
      </w:r>
      <w:r/>
    </w:p>
    <w:p>
      <w:pPr>
        <w:numPr>
          <w:ilvl w:val="0"/>
          <w:numId w:val="0"/>
        </w:num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供应商单位负责人为同一人或者存在直接控股、管理关系的不同供应商，不得同时参加同一合同项下的政府采购活动。</w:t>
      </w:r>
      <w:r/>
    </w:p>
    <w:p>
      <w:pPr>
        <w:numPr>
          <w:ilvl w:val="0"/>
          <w:numId w:val="0"/>
        </w:num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凡为采购项目提供整体设计、规范编制或者项目管理、监理、检测等服务的供应商，不得再参加本项目的采购活动。</w:t>
      </w:r>
      <w:r/>
    </w:p>
    <w:p>
      <w:pPr>
        <w:numPr>
          <w:ilvl w:val="0"/>
          <w:numId w:val="0"/>
        </w:num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6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left"/>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891"/>
        <w:ind w:firstLine="643"/>
        <w:jc w:val="left"/>
        <w:spacing w:line="52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891"/>
        <w:ind w:firstLine="643"/>
        <w:jc w:val="left"/>
        <w:spacing w:line="52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 xml:space="preserve">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jc w:val="center"/>
        <w:rPr>
          <w:rFonts w:hint="eastAsia" w:ascii="仿宋" w:hAnsi="仿宋" w:eastAsia="仿宋"/>
          <w:b/>
          <w:bCs/>
          <w:color w:val="auto"/>
          <w:sz w:val="32"/>
          <w:szCs w:val="32"/>
          <w:highlight w:val="none"/>
        </w:rPr>
      </w:pPr>
      <w:r/>
      <w:bookmarkStart w:id="47" w:name="OLE_LINK10"/>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both"/>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rPr>
          <w:rFonts w:hint="eastAsia" w:ascii="仿宋" w:hAnsi="仿宋" w:eastAsia="仿宋"/>
          <w:color w:val="auto"/>
          <w:sz w:val="28"/>
          <w:szCs w:val="28"/>
          <w:highlight w:val="none"/>
        </w:rPr>
        <w:t xml:space="preserve"> </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jc w:val="center"/>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pStyle w:val="891"/>
        <w:ind w:firstLine="0"/>
        <w:spacing w:line="60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致</w:t>
      </w:r>
      <w:r>
        <w:rPr>
          <w:rFonts w:hint="eastAsia" w:ascii="仿宋" w:hAnsi="仿宋" w:eastAsia="仿宋" w:cs="Times New Roman"/>
          <w:bCs/>
          <w:color w:val="auto"/>
          <w:sz w:val="28"/>
          <w:szCs w:val="28"/>
          <w:highlight w:val="none"/>
          <w:lang w:eastAsia="zh-CN"/>
        </w:rPr>
        <w:t xml:space="preserve">江苏省清河中学</w:t>
      </w:r>
      <w:r>
        <w:rPr>
          <w:rFonts w:hint="eastAsia" w:ascii="仿宋" w:hAnsi="仿宋" w:eastAsia="仿宋" w:cs="Times New Roman"/>
          <w:bCs/>
          <w:color w:val="auto"/>
          <w:sz w:val="28"/>
          <w:szCs w:val="28"/>
          <w:highlight w:val="none"/>
        </w:rPr>
        <w:t xml:space="preserve">:</w:t>
      </w:r>
      <w:r/>
    </w:p>
    <w:p>
      <w:pPr>
        <w:pStyle w:val="891"/>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91"/>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行业；制造商为</w:t>
      </w:r>
      <w:r>
        <w:rPr>
          <w:rFonts w:hint="eastAsia" w:ascii="仿宋" w:hAnsi="仿宋" w:eastAsia="仿宋"/>
          <w:bCs/>
          <w:color w:val="auto"/>
          <w:sz w:val="28"/>
          <w:szCs w:val="28"/>
          <w:highlight w:val="none"/>
          <w:u w:val="single"/>
        </w:rPr>
        <w:t xml:space="preserve">（企业名称）</w:t>
      </w:r>
      <w:r>
        <w:rPr>
          <w:rFonts w:hint="eastAsia" w:ascii="仿宋" w:hAnsi="仿宋" w:eastAsia="仿宋"/>
          <w:bCs/>
          <w:color w:val="auto"/>
          <w:sz w:val="28"/>
          <w:szCs w:val="28"/>
          <w:highlight w:val="none"/>
        </w:rPr>
        <w:t xml:space="preserve">，从业人员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91"/>
        <w:ind w:firstLine="560"/>
        <w:spacing w:line="600" w:lineRule="exact"/>
        <w:rPr>
          <w:rFonts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91"/>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91"/>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1"/>
        <w:ind w:firstLine="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bookmarkEnd w:id="47"/>
      <w:r/>
      <w:r/>
    </w:p>
    <w:p>
      <w:pPr>
        <w:pStyle w:val="891"/>
        <w:ind w:firstLine="0"/>
        <w:spacing w:line="600" w:lineRule="exac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91"/>
        <w:ind w:firstLine="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cs="Times New Roman"/>
          <w:bCs/>
          <w:color w:val="auto"/>
          <w:sz w:val="28"/>
          <w:szCs w:val="28"/>
          <w:highlight w:val="none"/>
          <w:lang w:eastAsia="zh-CN"/>
        </w:rPr>
        <w:t xml:space="preserve">江苏省清河中学</w:t>
      </w:r>
      <w:r>
        <w:rPr>
          <w:rFonts w:hint="eastAsia" w:ascii="仿宋" w:hAnsi="仿宋" w:eastAsia="仿宋"/>
          <w:bCs/>
          <w:color w:val="auto"/>
          <w:sz w:val="28"/>
          <w:szCs w:val="28"/>
          <w:highlight w:val="none"/>
        </w:rPr>
        <w:t xml:space="preserve">:</w:t>
      </w:r>
      <w:r/>
    </w:p>
    <w:p>
      <w:pPr>
        <w:pStyle w:val="891"/>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1"/>
        <w:ind w:firstLine="560"/>
        <w:spacing w:line="64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91"/>
        <w:ind w:firstLine="560"/>
        <w:spacing w:line="64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91"/>
        <w:ind w:firstLine="560"/>
        <w:spacing w:line="640" w:lineRule="exact"/>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91"/>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690"/>
        <w:ind w:left="0" w:firstLine="0"/>
        <w:jc w:val="left"/>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690"/>
        <w:ind w:left="0" w:firstLine="0"/>
        <w:jc w:val="left"/>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690"/>
        <w:ind w:firstLine="560"/>
        <w:jc w:val="center"/>
        <w:keepLines w:val="0"/>
        <w:keepNext w:val="0"/>
        <w:pageBreakBefore w:val="0"/>
        <w:spacing w:line="520" w:lineRule="exact"/>
        <w:rPr>
          <w:rFonts w:hint="eastAsia" w:ascii="仿宋" w:hAnsi="仿宋" w:eastAsia="仿宋" w:cs="宋体"/>
          <w:b/>
          <w:bCs/>
          <w:color w:val="auto"/>
          <w:sz w:val="32"/>
          <w:szCs w:val="32"/>
          <w:highlight w:val="none"/>
          <w:lang w:val="en-US" w:eastAsia="zh-CN" w:bidi="ar-SA"/>
        </w:rPr>
        <w:outlineLvl w:val="9"/>
      </w:pPr>
      <w:r>
        <w:rPr>
          <w:rFonts w:hint="eastAsia" w:ascii="仿宋" w:hAnsi="仿宋" w:eastAsia="仿宋" w:cs="宋体"/>
          <w:b/>
          <w:bCs/>
          <w:color w:val="auto"/>
          <w:sz w:val="32"/>
          <w:szCs w:val="32"/>
          <w:highlight w:val="none"/>
          <w:lang w:val="en-US" w:eastAsia="zh-CN" w:bidi="ar-SA"/>
        </w:rPr>
        <w:t xml:space="preserve">关于符合本国产品标准的声明函（采购包号：**）</w:t>
      </w:r>
      <w:r/>
    </w:p>
    <w:p>
      <w:pPr>
        <w:pStyle w:val="690"/>
        <w:ind w:firstLine="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cs="Times New Roman"/>
          <w:bCs/>
          <w:color w:val="auto"/>
          <w:sz w:val="28"/>
          <w:szCs w:val="28"/>
          <w:highlight w:val="none"/>
          <w:lang w:eastAsia="zh-CN"/>
        </w:rPr>
        <w:t xml:space="preserve">江苏省清河中学</w:t>
      </w:r>
      <w:r>
        <w:rPr>
          <w:rFonts w:hint="eastAsia" w:ascii="仿宋" w:hAnsi="仿宋" w:eastAsia="仿宋"/>
          <w:bCs/>
          <w:color w:val="auto"/>
          <w:sz w:val="28"/>
          <w:szCs w:val="28"/>
          <w:highlight w:val="none"/>
        </w:rPr>
        <w:t xml:space="preserve">:</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690"/>
        <w:ind w:firstLine="4933"/>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2.生产厂名与厂址应与生产厂营业执照载明的相关信息保持一致。</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3.该产品的中国境内生产的组件成本占比相关要求实施前，“规定比例”栏可不填，下同。</w:t>
      </w:r>
      <w:r/>
    </w:p>
    <w:p>
      <w:pPr>
        <w:pStyle w:val="690"/>
        <w:ind w:firstLine="560"/>
        <w:keepLines w:val="0"/>
        <w:keepNext w:val="0"/>
        <w:pageBreakBefore w:val="0"/>
        <w:spacing w:line="52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4.该产品的关键组件要求实施前，“关键组件”栏可不填，下同。</w:t>
      </w:r>
      <w:r/>
    </w:p>
    <w:p>
      <w:pPr>
        <w:ind w:firstLine="565"/>
        <w:spacing w:line="640" w:lineRule="exact"/>
        <w:rPr>
          <w:rFonts w:ascii="仿宋" w:hAnsi="仿宋" w:eastAsia="仿宋"/>
          <w:color w:val="auto"/>
          <w:sz w:val="28"/>
          <w:szCs w:val="28"/>
          <w:highlight w:val="none"/>
        </w:rPr>
      </w:pPr>
      <w:r>
        <w:rPr>
          <w:rFonts w:hint="eastAsia" w:ascii="仿宋" w:hAnsi="仿宋" w:eastAsia="仿宋" w:cs="Times New Roman"/>
          <w:bCs/>
          <w:color w:val="auto"/>
          <w:sz w:val="28"/>
          <w:szCs w:val="28"/>
          <w:highlight w:val="none"/>
        </w:rPr>
        <w:t xml:space="preserve">5.该产品的关键工序要求实施前，“关键工序”栏可不填，下同。</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Calibri">
    <w:panose1 w:val="020F0502020204030204"/>
  </w:font>
  <w:font w:name="仿宋_GB2312">
    <w:panose1 w:val="02010609060101010101"/>
  </w:font>
  <w:font w:name="Verdana">
    <w:panose1 w:val="020B0604030504040204"/>
  </w:font>
  <w:font w:name="黑体">
    <w:panose1 w:val="02010609060101010101"/>
  </w:font>
  <w:font w:name="仿宋">
    <w:panose1 w:val="02010609060101010101"/>
  </w:font>
  <w:font w:name="Courier New">
    <w:panose1 w:val="02070309020205020404"/>
  </w:font>
  <w:font w:name="楷体_GB2312">
    <w:panose1 w:val="02010609060101010101"/>
  </w:font>
  <w:font w:name="华文彩云">
    <w:panose1 w:val="02010800040101010101"/>
  </w:font>
  <w:font w:name="Cambria">
    <w:panose1 w:val="02040503050406030204"/>
  </w:font>
  <w:font w:name="方正仿宋_GBK">
    <w:panose1 w:val="020B0503020202020204"/>
  </w:font>
  <w:font w:name="Adobe 仿宋 Std R">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30</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96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Thousand"/>
      <w:pStyle w:val="97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default="1">
    <w:name w:val="Normal"/>
    <w:next w:val="6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4">
    <w:name w:val="Heading 1"/>
    <w:basedOn w:val="673"/>
    <w:next w:val="673"/>
    <w:link w:val="742"/>
    <w:uiPriority w:val="9"/>
    <w:qFormat/>
    <w:pPr>
      <w:keepLines/>
      <w:keepNext/>
      <w:spacing w:before="480" w:after="200"/>
      <w:outlineLvl w:val="0"/>
    </w:pPr>
    <w:rPr>
      <w:rFonts w:ascii="Arial" w:hAnsi="Arial" w:eastAsia="Arial" w:cs="Arial"/>
      <w:sz w:val="40"/>
      <w:szCs w:val="40"/>
    </w:rPr>
  </w:style>
  <w:style w:type="paragraph" w:styleId="675">
    <w:name w:val="Heading 2"/>
    <w:basedOn w:val="673"/>
    <w:next w:val="673"/>
    <w:link w:val="743"/>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44"/>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45"/>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46"/>
    <w:uiPriority w:val="9"/>
    <w:unhideWhenUsed/>
    <w:qFormat/>
    <w:pPr>
      <w:keepLines/>
      <w:keepNext/>
      <w:spacing w:before="320" w:after="200"/>
      <w:outlineLvl w:val="4"/>
    </w:pPr>
    <w:rPr>
      <w:rFonts w:ascii="Arial" w:hAnsi="Arial" w:eastAsia="Arial" w:cs="Arial"/>
      <w:b/>
      <w:bCs/>
      <w:sz w:val="24"/>
    </w:rPr>
  </w:style>
  <w:style w:type="paragraph" w:styleId="679">
    <w:name w:val="Heading 6"/>
    <w:basedOn w:val="673"/>
    <w:next w:val="673"/>
    <w:link w:val="747"/>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49"/>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50"/>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customStyle="1">
    <w:name w:val="正文1"/>
    <w:basedOn w:val="686"/>
    <w:next w:val="687"/>
    <w:uiPriority w:val="0"/>
    <w:qFormat/>
    <w:pPr>
      <w:contextualSpacing/>
      <w:ind w:firstLine="200"/>
      <w:spacing w:before="120" w:after="120" w:line="180" w:lineRule="auto"/>
      <w:tabs>
        <w:tab w:val="left" w:pos="1110" w:leader="none"/>
      </w:tabs>
    </w:pPr>
    <w:rPr>
      <w:rFonts w:hint="default" w:ascii="Times New Roman" w:hAnsi="Times New Roman" w:eastAsia="Adobe 仿宋 Std R" w:cs="Times New Roman"/>
      <w:sz w:val="21"/>
      <w:szCs w:val="21"/>
      <w:lang w:val="en-US" w:eastAsia="zh-CN" w:bidi="ar-SA"/>
    </w:rPr>
  </w:style>
  <w:style w:type="paragraph" w:styleId="686" w:customStyle="1">
    <w:name w:val="样式1"/>
    <w:basedOn w:val="673"/>
    <w:uiPriority w:val="0"/>
    <w:qFormat/>
    <w:pPr>
      <w:ind w:left="432" w:firstLine="288"/>
      <w:tabs>
        <w:tab w:val="left" w:pos="1110" w:leader="none"/>
      </w:tabs>
    </w:pPr>
    <w:rPr>
      <w:rFonts w:ascii="宋体" w:hAnsi="宋体"/>
      <w:szCs w:val="21"/>
    </w:rPr>
  </w:style>
  <w:style w:type="paragraph" w:styleId="687" w:customStyle="1">
    <w:name w:val="正文 A"/>
    <w:next w:val="688"/>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688" w:customStyle="1">
    <w:name w:val="段"/>
    <w:next w:val="687"/>
    <w:uiPriority w:val="0"/>
    <w:qFormat/>
    <w:pPr>
      <w:ind w:firstLine="200"/>
      <w:jc w:val="both"/>
      <w:widowControl w:val="off"/>
    </w:pPr>
    <w:rPr>
      <w:rFonts w:hint="default" w:ascii="Times New Roman" w:hAnsi="Times New Roman" w:eastAsia="宋体" w:cs="Times New Roman"/>
      <w:sz w:val="21"/>
      <w:szCs w:val="22"/>
      <w:lang w:val="en-US" w:eastAsia="zh-CN" w:bidi="ar-SA"/>
    </w:rPr>
  </w:style>
  <w:style w:type="paragraph" w:styleId="689">
    <w:name w:val="toc 7"/>
    <w:basedOn w:val="673"/>
    <w:next w:val="673"/>
    <w:uiPriority w:val="39"/>
    <w:unhideWhenUsed/>
    <w:qFormat/>
    <w:pPr>
      <w:ind w:left="1701"/>
      <w:spacing w:after="57"/>
    </w:pPr>
  </w:style>
  <w:style w:type="paragraph" w:styleId="690">
    <w:name w:val="Normal Indent"/>
    <w:basedOn w:val="673"/>
    <w:uiPriority w:val="0"/>
    <w:qFormat/>
    <w:pPr>
      <w:ind w:firstLine="420"/>
    </w:pPr>
  </w:style>
  <w:style w:type="paragraph" w:styleId="691">
    <w:name w:val="Caption"/>
    <w:basedOn w:val="673"/>
    <w:next w:val="6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Body Text"/>
    <w:basedOn w:val="673"/>
    <w:next w:val="69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3">
    <w:name w:val="toc 2"/>
    <w:basedOn w:val="673"/>
    <w:next w:val="673"/>
    <w:uiPriority w:val="39"/>
    <w:unhideWhenUsed/>
    <w:qFormat/>
    <w:pPr>
      <w:ind w:left="283"/>
      <w:spacing w:after="57"/>
    </w:pPr>
  </w:style>
  <w:style w:type="paragraph" w:styleId="694">
    <w:name w:val="Body Text Indent"/>
    <w:basedOn w:val="673"/>
    <w:next w:val="695"/>
    <w:uiPriority w:val="99"/>
    <w:qFormat/>
    <w:pPr>
      <w:ind w:firstLine="630"/>
    </w:pPr>
    <w:rPr>
      <w:rFonts w:ascii="楷体_GB2312" w:eastAsia="楷体_GB2312"/>
      <w:sz w:val="32"/>
      <w:szCs w:val="20"/>
    </w:rPr>
  </w:style>
  <w:style w:type="paragraph" w:styleId="695">
    <w:name w:val="envelope return"/>
    <w:basedOn w:val="673"/>
    <w:uiPriority w:val="99"/>
    <w:unhideWhenUsed/>
    <w:qFormat/>
    <w:rPr>
      <w:rFonts w:ascii="Cambria" w:hAnsi="Cambria"/>
    </w:rPr>
  </w:style>
  <w:style w:type="paragraph" w:styleId="696">
    <w:name w:val="toc 5"/>
    <w:basedOn w:val="673"/>
    <w:next w:val="673"/>
    <w:uiPriority w:val="39"/>
    <w:unhideWhenUsed/>
    <w:qFormat/>
    <w:pPr>
      <w:ind w:left="1134"/>
      <w:spacing w:after="57"/>
    </w:pPr>
  </w:style>
  <w:style w:type="paragraph" w:styleId="697">
    <w:name w:val="toc 3"/>
    <w:basedOn w:val="673"/>
    <w:next w:val="673"/>
    <w:uiPriority w:val="39"/>
    <w:unhideWhenUsed/>
    <w:qFormat/>
    <w:pPr>
      <w:ind w:left="567"/>
      <w:spacing w:after="57"/>
    </w:pPr>
  </w:style>
  <w:style w:type="paragraph" w:styleId="698">
    <w:name w:val="Plain Text"/>
    <w:basedOn w:val="673"/>
    <w:next w:val="699"/>
    <w:uiPriority w:val="0"/>
    <w:qFormat/>
    <w:rPr>
      <w:rFonts w:ascii="宋体" w:hAnsi="Courier New"/>
      <w:szCs w:val="20"/>
    </w:rPr>
  </w:style>
  <w:style w:type="paragraph" w:styleId="69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00">
    <w:name w:val="toc 8"/>
    <w:basedOn w:val="673"/>
    <w:next w:val="673"/>
    <w:uiPriority w:val="39"/>
    <w:unhideWhenUsed/>
    <w:qFormat/>
    <w:pPr>
      <w:ind w:left="1984"/>
      <w:spacing w:after="57"/>
    </w:pPr>
  </w:style>
  <w:style w:type="paragraph" w:styleId="701">
    <w:name w:val="endnote text"/>
    <w:basedOn w:val="673"/>
    <w:link w:val="887"/>
    <w:uiPriority w:val="99"/>
    <w:semiHidden/>
    <w:unhideWhenUsed/>
    <w:qFormat/>
    <w:rPr>
      <w:sz w:val="20"/>
    </w:rPr>
  </w:style>
  <w:style w:type="paragraph" w:styleId="702">
    <w:name w:val="Footer"/>
    <w:basedOn w:val="673"/>
    <w:link w:val="760"/>
    <w:uiPriority w:val="99"/>
    <w:unhideWhenUsed/>
    <w:qFormat/>
    <w:pPr>
      <w:tabs>
        <w:tab w:val="center" w:pos="7143" w:leader="none"/>
        <w:tab w:val="right" w:pos="14287" w:leader="none"/>
      </w:tabs>
    </w:pPr>
  </w:style>
  <w:style w:type="paragraph" w:styleId="703">
    <w:name w:val="Header"/>
    <w:basedOn w:val="673"/>
    <w:link w:val="758"/>
    <w:uiPriority w:val="99"/>
    <w:unhideWhenUsed/>
    <w:qFormat/>
    <w:pPr>
      <w:tabs>
        <w:tab w:val="center" w:pos="7143" w:leader="none"/>
        <w:tab w:val="right" w:pos="14287" w:leader="none"/>
      </w:tabs>
    </w:pPr>
  </w:style>
  <w:style w:type="paragraph" w:styleId="704">
    <w:name w:val="toc 1"/>
    <w:basedOn w:val="673"/>
    <w:next w:val="673"/>
    <w:uiPriority w:val="39"/>
    <w:unhideWhenUsed/>
    <w:qFormat/>
    <w:pPr>
      <w:spacing w:after="57"/>
    </w:pPr>
  </w:style>
  <w:style w:type="paragraph" w:styleId="705">
    <w:name w:val="toc 4"/>
    <w:basedOn w:val="673"/>
    <w:next w:val="673"/>
    <w:uiPriority w:val="39"/>
    <w:unhideWhenUsed/>
    <w:qFormat/>
    <w:pPr>
      <w:ind w:left="850"/>
      <w:spacing w:after="57"/>
    </w:pPr>
  </w:style>
  <w:style w:type="paragraph" w:styleId="706">
    <w:name w:val="Subtitle"/>
    <w:basedOn w:val="673"/>
    <w:next w:val="673"/>
    <w:link w:val="753"/>
    <w:uiPriority w:val="11"/>
    <w:qFormat/>
    <w:pPr>
      <w:spacing w:before="200" w:after="200"/>
    </w:pPr>
    <w:rPr>
      <w:sz w:val="24"/>
    </w:rPr>
  </w:style>
  <w:style w:type="paragraph" w:styleId="707">
    <w:name w:val="footnote text"/>
    <w:basedOn w:val="673"/>
    <w:link w:val="886"/>
    <w:uiPriority w:val="99"/>
    <w:semiHidden/>
    <w:unhideWhenUsed/>
    <w:qFormat/>
    <w:pPr>
      <w:spacing w:after="40"/>
    </w:pPr>
    <w:rPr>
      <w:sz w:val="18"/>
    </w:rPr>
  </w:style>
  <w:style w:type="paragraph" w:styleId="708">
    <w:name w:val="toc 6"/>
    <w:basedOn w:val="673"/>
    <w:next w:val="673"/>
    <w:uiPriority w:val="39"/>
    <w:unhideWhenUsed/>
    <w:qFormat/>
    <w:pPr>
      <w:ind w:left="1417"/>
      <w:spacing w:after="57"/>
    </w:pPr>
  </w:style>
  <w:style w:type="paragraph" w:styleId="709">
    <w:name w:val="table of figures"/>
    <w:basedOn w:val="673"/>
    <w:next w:val="673"/>
    <w:uiPriority w:val="99"/>
    <w:unhideWhenUsed/>
    <w:qFormat/>
  </w:style>
  <w:style w:type="paragraph" w:styleId="710">
    <w:name w:val="toc 9"/>
    <w:basedOn w:val="673"/>
    <w:next w:val="673"/>
    <w:uiPriority w:val="39"/>
    <w:unhideWhenUsed/>
    <w:qFormat/>
    <w:pPr>
      <w:ind w:left="2268"/>
      <w:spacing w:after="57"/>
    </w:pPr>
  </w:style>
  <w:style w:type="paragraph" w:styleId="711">
    <w:name w:val="Body Text 2"/>
    <w:basedOn w:val="673"/>
    <w:uiPriority w:val="0"/>
    <w:qFormat/>
    <w:pPr>
      <w:spacing w:line="440" w:lineRule="exact"/>
    </w:pPr>
    <w:rPr>
      <w:rFonts w:ascii="楷体_GB2312" w:eastAsia="楷体_GB2312"/>
      <w:sz w:val="28"/>
    </w:rPr>
  </w:style>
  <w:style w:type="paragraph" w:styleId="712">
    <w:name w:val="Message Header"/>
    <w:basedOn w:val="673"/>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713">
    <w:name w:val="Normal (Web)"/>
    <w:basedOn w:val="673"/>
    <w:uiPriority w:val="99"/>
    <w:unhideWhenUsed/>
    <w:qFormat/>
    <w:pPr>
      <w:jc w:val="left"/>
      <w:spacing w:before="100" w:beforeAutospacing="1" w:after="100" w:afterAutospacing="1"/>
      <w:widowControl/>
    </w:pPr>
    <w:rPr>
      <w:rFonts w:ascii="宋体" w:hAnsi="宋体" w:cs="宋体"/>
      <w:sz w:val="24"/>
    </w:rPr>
  </w:style>
  <w:style w:type="paragraph" w:styleId="714">
    <w:name w:val="Title"/>
    <w:basedOn w:val="673"/>
    <w:next w:val="673"/>
    <w:link w:val="752"/>
    <w:uiPriority w:val="10"/>
    <w:qFormat/>
    <w:pPr>
      <w:contextualSpacing/>
      <w:spacing w:before="300" w:after="200"/>
    </w:pPr>
    <w:rPr>
      <w:sz w:val="48"/>
      <w:szCs w:val="48"/>
    </w:rPr>
  </w:style>
  <w:style w:type="paragraph" w:styleId="715">
    <w:name w:val="Body Text First Indent"/>
    <w:basedOn w:val="692"/>
    <w:uiPriority w:val="0"/>
    <w:unhideWhenUsed/>
    <w:qFormat/>
    <w:pPr>
      <w:ind w:firstLine="420"/>
    </w:pPr>
  </w:style>
  <w:style w:type="paragraph" w:styleId="716">
    <w:name w:val="Body Text First Indent 2"/>
    <w:basedOn w:val="694"/>
    <w:next w:val="673"/>
    <w:uiPriority w:val="99"/>
    <w:qFormat/>
    <w:pPr>
      <w:ind w:left="420" w:firstLine="420"/>
      <w:widowControl/>
    </w:pPr>
    <w:rPr>
      <w:rFonts w:ascii="仿宋_GB2312" w:eastAsia="仿宋_GB2312"/>
      <w:color w:val="ff6600"/>
      <w:sz w:val="21"/>
    </w:r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name w:val="List Paragraph"/>
    <w:basedOn w:val="673"/>
    <w:uiPriority w:val="34"/>
    <w:qFormat/>
    <w:pPr>
      <w:contextualSpacing/>
      <w:ind w:left="720"/>
    </w:pPr>
  </w:style>
  <w:style w:type="paragraph" w:styleId="722" w:customStyle="1">
    <w:name w:val="信息标题1"/>
    <w:basedOn w:val="673"/>
    <w:next w:val="67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723" w:customStyle="1">
    <w:name w:val="Heading 1 Char"/>
    <w:basedOn w:val="683"/>
    <w:uiPriority w:val="9"/>
    <w:qFormat/>
    <w:rPr>
      <w:rFonts w:ascii="Arial" w:hAnsi="Arial" w:eastAsia="Arial" w:cs="Arial"/>
      <w:sz w:val="40"/>
      <w:szCs w:val="40"/>
    </w:rPr>
  </w:style>
  <w:style w:type="character" w:styleId="724" w:customStyle="1">
    <w:name w:val="Heading 2 Char"/>
    <w:basedOn w:val="683"/>
    <w:uiPriority w:val="9"/>
    <w:qFormat/>
    <w:rPr>
      <w:rFonts w:ascii="Arial" w:hAnsi="Arial" w:eastAsia="Arial" w:cs="Arial"/>
      <w:sz w:val="34"/>
    </w:rPr>
  </w:style>
  <w:style w:type="character" w:styleId="725" w:customStyle="1">
    <w:name w:val="Heading 3 Char"/>
    <w:basedOn w:val="683"/>
    <w:uiPriority w:val="9"/>
    <w:qFormat/>
    <w:rPr>
      <w:rFonts w:ascii="Arial" w:hAnsi="Arial" w:eastAsia="Arial" w:cs="Arial"/>
      <w:sz w:val="30"/>
      <w:szCs w:val="30"/>
    </w:rPr>
  </w:style>
  <w:style w:type="character" w:styleId="726" w:customStyle="1">
    <w:name w:val="Heading 4 Char"/>
    <w:basedOn w:val="683"/>
    <w:uiPriority w:val="9"/>
    <w:qFormat/>
    <w:rPr>
      <w:rFonts w:ascii="Arial" w:hAnsi="Arial" w:eastAsia="Arial" w:cs="Arial"/>
      <w:b/>
      <w:bCs/>
      <w:sz w:val="26"/>
      <w:szCs w:val="26"/>
    </w:rPr>
  </w:style>
  <w:style w:type="character" w:styleId="727" w:customStyle="1">
    <w:name w:val="Heading 5 Char"/>
    <w:basedOn w:val="683"/>
    <w:uiPriority w:val="9"/>
    <w:qFormat/>
    <w:rPr>
      <w:rFonts w:ascii="Arial" w:hAnsi="Arial" w:eastAsia="Arial" w:cs="Arial"/>
      <w:b/>
      <w:bCs/>
      <w:sz w:val="24"/>
      <w:szCs w:val="24"/>
    </w:rPr>
  </w:style>
  <w:style w:type="character" w:styleId="728" w:customStyle="1">
    <w:name w:val="Heading 6 Char"/>
    <w:basedOn w:val="683"/>
    <w:uiPriority w:val="9"/>
    <w:qFormat/>
    <w:rPr>
      <w:rFonts w:ascii="Arial" w:hAnsi="Arial" w:eastAsia="Arial" w:cs="Arial"/>
      <w:b/>
      <w:bCs/>
      <w:sz w:val="22"/>
      <w:szCs w:val="22"/>
    </w:rPr>
  </w:style>
  <w:style w:type="character" w:styleId="729" w:customStyle="1">
    <w:name w:val="Heading 7 Char"/>
    <w:basedOn w:val="683"/>
    <w:uiPriority w:val="9"/>
    <w:qFormat/>
    <w:rPr>
      <w:rFonts w:ascii="Arial" w:hAnsi="Arial" w:eastAsia="Arial" w:cs="Arial"/>
      <w:b/>
      <w:bCs/>
      <w:i/>
      <w:iCs/>
      <w:sz w:val="22"/>
      <w:szCs w:val="22"/>
    </w:rPr>
  </w:style>
  <w:style w:type="character" w:styleId="730" w:customStyle="1">
    <w:name w:val="Heading 8 Char"/>
    <w:basedOn w:val="683"/>
    <w:uiPriority w:val="9"/>
    <w:qFormat/>
    <w:rPr>
      <w:rFonts w:ascii="Arial" w:hAnsi="Arial" w:eastAsia="Arial" w:cs="Arial"/>
      <w:i/>
      <w:iCs/>
      <w:sz w:val="22"/>
      <w:szCs w:val="22"/>
    </w:rPr>
  </w:style>
  <w:style w:type="character" w:styleId="731" w:customStyle="1">
    <w:name w:val="Heading 9 Char"/>
    <w:basedOn w:val="683"/>
    <w:uiPriority w:val="9"/>
    <w:qFormat/>
    <w:rPr>
      <w:rFonts w:ascii="Arial" w:hAnsi="Arial" w:eastAsia="Arial" w:cs="Arial"/>
      <w:i/>
      <w:iCs/>
      <w:sz w:val="21"/>
      <w:szCs w:val="21"/>
    </w:rPr>
  </w:style>
  <w:style w:type="character" w:styleId="732" w:customStyle="1">
    <w:name w:val="Title Char"/>
    <w:basedOn w:val="683"/>
    <w:uiPriority w:val="10"/>
    <w:qFormat/>
    <w:rPr>
      <w:sz w:val="48"/>
      <w:szCs w:val="48"/>
    </w:rPr>
  </w:style>
  <w:style w:type="character" w:styleId="733" w:customStyle="1">
    <w:name w:val="Subtitle Char"/>
    <w:basedOn w:val="683"/>
    <w:uiPriority w:val="11"/>
    <w:qFormat/>
    <w:rPr>
      <w:sz w:val="24"/>
      <w:szCs w:val="24"/>
    </w:rPr>
  </w:style>
  <w:style w:type="character" w:styleId="734" w:customStyle="1">
    <w:name w:val="Quote Char"/>
    <w:uiPriority w:val="29"/>
    <w:qFormat/>
    <w:rPr>
      <w:i/>
    </w:rPr>
  </w:style>
  <w:style w:type="character" w:styleId="735" w:customStyle="1">
    <w:name w:val="Intense Quote Char"/>
    <w:uiPriority w:val="30"/>
    <w:qFormat/>
    <w:rPr>
      <w:i/>
    </w:rPr>
  </w:style>
  <w:style w:type="character" w:styleId="736" w:customStyle="1">
    <w:name w:val="Header Char"/>
    <w:basedOn w:val="683"/>
    <w:uiPriority w:val="99"/>
    <w:qFormat/>
  </w:style>
  <w:style w:type="character" w:styleId="737" w:customStyle="1">
    <w:name w:val="Caption Char"/>
    <w:uiPriority w:val="99"/>
    <w:qFormat/>
  </w:style>
  <w:style w:type="character" w:styleId="738" w:customStyle="1">
    <w:name w:val="Footnote Text Char"/>
    <w:uiPriority w:val="99"/>
    <w:qFormat/>
    <w:rPr>
      <w:sz w:val="18"/>
    </w:rPr>
  </w:style>
  <w:style w:type="character" w:styleId="739" w:customStyle="1">
    <w:name w:val="Endnote Text Char"/>
    <w:uiPriority w:val="99"/>
    <w:qFormat/>
    <w:rPr>
      <w:sz w:val="20"/>
    </w:rPr>
  </w:style>
  <w:style w:type="paragraph" w:styleId="740" w:customStyle="1">
    <w:name w:val="TOC Heading"/>
    <w:uiPriority w:val="39"/>
    <w:unhideWhenUsed/>
    <w:qFormat/>
    <w:rPr>
      <w:rFonts w:hint="default" w:ascii="Times New Roman" w:hAnsi="Times New Roman" w:eastAsia="宋体" w:cs="Times New Roman"/>
    </w:rPr>
  </w:style>
  <w:style w:type="paragraph" w:styleId="741" w:customStyle="1">
    <w:name w:val="BodyText1"/>
    <w:basedOn w:val="673"/>
    <w:uiPriority w:val="0"/>
    <w:qFormat/>
    <w:pPr>
      <w:spacing w:after="120"/>
    </w:pPr>
  </w:style>
  <w:style w:type="character" w:styleId="742" w:customStyle="1">
    <w:name w:val="标题 1 Char"/>
    <w:link w:val="674"/>
    <w:uiPriority w:val="9"/>
    <w:qFormat/>
    <w:rPr>
      <w:rFonts w:ascii="Arial" w:hAnsi="Arial" w:eastAsia="Arial" w:cs="Arial"/>
      <w:sz w:val="40"/>
      <w:szCs w:val="40"/>
    </w:rPr>
  </w:style>
  <w:style w:type="character" w:styleId="743" w:customStyle="1">
    <w:name w:val="标题 2 Char1"/>
    <w:link w:val="675"/>
    <w:uiPriority w:val="9"/>
    <w:qFormat/>
    <w:rPr>
      <w:rFonts w:ascii="Arial" w:hAnsi="Arial" w:eastAsia="Arial" w:cs="Arial"/>
      <w:sz w:val="34"/>
    </w:rPr>
  </w:style>
  <w:style w:type="character" w:styleId="744" w:customStyle="1">
    <w:name w:val="标题 3 Char"/>
    <w:link w:val="676"/>
    <w:uiPriority w:val="9"/>
    <w:qFormat/>
    <w:rPr>
      <w:rFonts w:ascii="Arial" w:hAnsi="Arial" w:eastAsia="Arial" w:cs="Arial"/>
      <w:sz w:val="30"/>
      <w:szCs w:val="30"/>
    </w:rPr>
  </w:style>
  <w:style w:type="character" w:styleId="745" w:customStyle="1">
    <w:name w:val="标题 4 Char1"/>
    <w:link w:val="677"/>
    <w:uiPriority w:val="9"/>
    <w:qFormat/>
    <w:rPr>
      <w:rFonts w:ascii="Arial" w:hAnsi="Arial" w:eastAsia="Arial" w:cs="Arial"/>
      <w:b/>
      <w:bCs/>
      <w:sz w:val="26"/>
      <w:szCs w:val="26"/>
    </w:rPr>
  </w:style>
  <w:style w:type="character" w:styleId="746" w:customStyle="1">
    <w:name w:val="标题 5 Char1"/>
    <w:link w:val="678"/>
    <w:uiPriority w:val="9"/>
    <w:qFormat/>
    <w:rPr>
      <w:rFonts w:ascii="Arial" w:hAnsi="Arial" w:eastAsia="Arial" w:cs="Arial"/>
      <w:b/>
      <w:bCs/>
      <w:sz w:val="24"/>
      <w:szCs w:val="24"/>
    </w:rPr>
  </w:style>
  <w:style w:type="character" w:styleId="747" w:customStyle="1">
    <w:name w:val="标题 6 Char"/>
    <w:link w:val="679"/>
    <w:uiPriority w:val="9"/>
    <w:qFormat/>
    <w:rPr>
      <w:rFonts w:ascii="Arial" w:hAnsi="Arial" w:eastAsia="Arial" w:cs="Arial"/>
      <w:b/>
      <w:bCs/>
      <w:sz w:val="22"/>
      <w:szCs w:val="22"/>
    </w:rPr>
  </w:style>
  <w:style w:type="character" w:styleId="748" w:customStyle="1">
    <w:name w:val="标题 7 Char"/>
    <w:link w:val="680"/>
    <w:uiPriority w:val="9"/>
    <w:qFormat/>
    <w:rPr>
      <w:rFonts w:ascii="Arial" w:hAnsi="Arial" w:eastAsia="Arial" w:cs="Arial"/>
      <w:b/>
      <w:bCs/>
      <w:i/>
      <w:iCs/>
      <w:sz w:val="22"/>
      <w:szCs w:val="22"/>
    </w:rPr>
  </w:style>
  <w:style w:type="character" w:styleId="749" w:customStyle="1">
    <w:name w:val="标题 8 Char"/>
    <w:link w:val="681"/>
    <w:uiPriority w:val="9"/>
    <w:qFormat/>
    <w:rPr>
      <w:rFonts w:ascii="Arial" w:hAnsi="Arial" w:eastAsia="Arial" w:cs="Arial"/>
      <w:i/>
      <w:iCs/>
      <w:sz w:val="22"/>
      <w:szCs w:val="22"/>
    </w:rPr>
  </w:style>
  <w:style w:type="character" w:styleId="750" w:customStyle="1">
    <w:name w:val="标题 9 Char"/>
    <w:link w:val="682"/>
    <w:uiPriority w:val="9"/>
    <w:qFormat/>
    <w:rPr>
      <w:rFonts w:ascii="Arial" w:hAnsi="Arial" w:eastAsia="Arial" w:cs="Arial"/>
      <w:i/>
      <w:iCs/>
      <w:sz w:val="21"/>
      <w:szCs w:val="21"/>
    </w:rPr>
  </w:style>
  <w:style w:type="paragraph" w:styleId="751">
    <w:name w:val="No Spacing"/>
    <w:uiPriority w:val="1"/>
    <w:qFormat/>
    <w:rPr>
      <w:rFonts w:hint="default" w:ascii="Times New Roman" w:hAnsi="Times New Roman" w:eastAsia="宋体" w:cs="Times New Roman"/>
      <w:lang w:val="en-US" w:eastAsia="zh-CN" w:bidi="ar-SA"/>
    </w:rPr>
  </w:style>
  <w:style w:type="character" w:styleId="752" w:customStyle="1">
    <w:name w:val="标题 Char"/>
    <w:link w:val="714"/>
    <w:uiPriority w:val="10"/>
    <w:qFormat/>
    <w:rPr>
      <w:sz w:val="48"/>
      <w:szCs w:val="48"/>
    </w:rPr>
  </w:style>
  <w:style w:type="character" w:styleId="753" w:customStyle="1">
    <w:name w:val="副标题 Char"/>
    <w:link w:val="706"/>
    <w:uiPriority w:val="11"/>
    <w:qFormat/>
    <w:rPr>
      <w:sz w:val="24"/>
      <w:szCs w:val="24"/>
    </w:rPr>
  </w:style>
  <w:style w:type="paragraph" w:styleId="754">
    <w:name w:val="Quote"/>
    <w:basedOn w:val="673"/>
    <w:next w:val="673"/>
    <w:link w:val="755"/>
    <w:uiPriority w:val="29"/>
    <w:qFormat/>
    <w:pPr>
      <w:ind w:left="720" w:right="720"/>
    </w:pPr>
    <w:rPr>
      <w:i/>
    </w:rPr>
  </w:style>
  <w:style w:type="character" w:styleId="755" w:customStyle="1">
    <w:name w:val="引用 Char"/>
    <w:link w:val="754"/>
    <w:uiPriority w:val="29"/>
    <w:qFormat/>
    <w:rPr>
      <w:i/>
    </w:rPr>
  </w:style>
  <w:style w:type="paragraph" w:styleId="756">
    <w:name w:val="Intense Quote"/>
    <w:basedOn w:val="673"/>
    <w:next w:val="673"/>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
    <w:link w:val="756"/>
    <w:uiPriority w:val="30"/>
    <w:qFormat/>
    <w:rPr>
      <w:i/>
    </w:rPr>
  </w:style>
  <w:style w:type="character" w:styleId="758" w:customStyle="1">
    <w:name w:val="页眉 Char1"/>
    <w:link w:val="703"/>
    <w:uiPriority w:val="99"/>
    <w:qFormat/>
  </w:style>
  <w:style w:type="character" w:styleId="759" w:customStyle="1">
    <w:name w:val="Footer Char"/>
    <w:uiPriority w:val="99"/>
    <w:qFormat/>
  </w:style>
  <w:style w:type="character" w:styleId="760" w:customStyle="1">
    <w:name w:val="页脚 Char1"/>
    <w:link w:val="702"/>
    <w:uiPriority w:val="99"/>
    <w:qFormat/>
  </w:style>
  <w:style w:type="table" w:styleId="7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脚注文本 Char"/>
    <w:link w:val="707"/>
    <w:uiPriority w:val="99"/>
    <w:qFormat/>
    <w:rPr>
      <w:sz w:val="18"/>
    </w:rPr>
  </w:style>
  <w:style w:type="character" w:styleId="887" w:customStyle="1">
    <w:name w:val="尾注文本 Char"/>
    <w:link w:val="701"/>
    <w:uiPriority w:val="99"/>
    <w:qFormat/>
    <w:rPr>
      <w:sz w:val="20"/>
    </w:rPr>
  </w:style>
  <w:style w:type="paragraph" w:styleId="888" w:customStyle="1">
    <w:name w:val="TOC 标题1"/>
    <w:uiPriority w:val="39"/>
    <w:unhideWhenUsed/>
    <w:qFormat/>
    <w:rPr>
      <w:rFonts w:hint="default" w:ascii="Times New Roman" w:hAnsi="Times New Roman" w:eastAsia="宋体" w:cs="Times New Roman"/>
      <w:lang w:val="en-US" w:eastAsia="zh-CN" w:bidi="ar-SA"/>
    </w:rPr>
  </w:style>
  <w:style w:type="paragraph" w:styleId="889" w:customStyle="1">
    <w:name w:val="标题 11"/>
    <w:basedOn w:val="673"/>
    <w:next w:val="673"/>
    <w:uiPriority w:val="9"/>
    <w:qFormat/>
    <w:pPr>
      <w:keepLines/>
      <w:keepNext/>
      <w:spacing w:before="340" w:after="330" w:line="578" w:lineRule="auto"/>
      <w:outlineLvl w:val="0"/>
    </w:pPr>
    <w:rPr>
      <w:b/>
      <w:bCs/>
      <w:sz w:val="44"/>
      <w:szCs w:val="44"/>
    </w:rPr>
  </w:style>
  <w:style w:type="paragraph" w:styleId="890" w:customStyle="1">
    <w:name w:val="标题 21"/>
    <w:basedOn w:val="673"/>
    <w:next w:val="891"/>
    <w:uiPriority w:val="9"/>
    <w:qFormat/>
    <w:pPr>
      <w:keepLines/>
      <w:keepNext/>
      <w:spacing w:before="260" w:after="260" w:line="413" w:lineRule="auto"/>
      <w:outlineLvl w:val="1"/>
    </w:pPr>
    <w:rPr>
      <w:rFonts w:ascii="Arial" w:hAnsi="Arial" w:eastAsia="黑体"/>
      <w:b/>
      <w:sz w:val="32"/>
      <w:szCs w:val="20"/>
    </w:rPr>
  </w:style>
  <w:style w:type="paragraph" w:styleId="891" w:customStyle="1">
    <w:name w:val="正文缩进1"/>
    <w:basedOn w:val="673"/>
    <w:link w:val="898"/>
    <w:uiPriority w:val="0"/>
    <w:qFormat/>
    <w:pPr>
      <w:ind w:firstLine="420"/>
    </w:pPr>
    <w:rPr>
      <w:szCs w:val="20"/>
    </w:rPr>
  </w:style>
  <w:style w:type="paragraph" w:styleId="892" w:customStyle="1">
    <w:name w:val="标题 31"/>
    <w:basedOn w:val="673"/>
    <w:next w:val="673"/>
    <w:uiPriority w:val="9"/>
    <w:qFormat/>
    <w:pPr>
      <w:keepLines/>
      <w:keepNext/>
      <w:spacing w:before="260" w:after="260" w:line="413" w:lineRule="auto"/>
      <w:outlineLvl w:val="2"/>
    </w:pPr>
    <w:rPr>
      <w:rFonts w:ascii="Arial" w:hAnsi="Arial"/>
      <w:b/>
      <w:sz w:val="32"/>
      <w:szCs w:val="20"/>
    </w:rPr>
  </w:style>
  <w:style w:type="paragraph" w:styleId="893" w:customStyle="1">
    <w:name w:val="标题 41"/>
    <w:basedOn w:val="673"/>
    <w:next w:val="673"/>
    <w:link w:val="899"/>
    <w:uiPriority w:val="9"/>
    <w:qFormat/>
    <w:pPr>
      <w:keepLines/>
      <w:keepNext/>
      <w:spacing w:before="280" w:after="290" w:line="376" w:lineRule="auto"/>
      <w:outlineLvl w:val="3"/>
    </w:pPr>
    <w:rPr>
      <w:rFonts w:ascii="Cambria" w:hAnsi="Cambria"/>
      <w:b/>
      <w:bCs/>
      <w:sz w:val="28"/>
      <w:szCs w:val="28"/>
    </w:rPr>
  </w:style>
  <w:style w:type="paragraph" w:styleId="894" w:customStyle="1">
    <w:name w:val="标题 51"/>
    <w:basedOn w:val="673"/>
    <w:next w:val="673"/>
    <w:link w:val="900"/>
    <w:uiPriority w:val="9"/>
    <w:qFormat/>
    <w:pPr>
      <w:keepLines/>
      <w:keepNext/>
      <w:spacing w:before="280" w:after="290" w:line="376" w:lineRule="auto"/>
      <w:outlineLvl w:val="4"/>
    </w:pPr>
    <w:rPr>
      <w:b/>
      <w:bCs/>
      <w:sz w:val="28"/>
      <w:szCs w:val="28"/>
    </w:rPr>
  </w:style>
  <w:style w:type="character" w:styleId="895" w:customStyle="1">
    <w:name w:val="默认段落字体1"/>
    <w:uiPriority w:val="0"/>
    <w:semiHidden/>
    <w:qFormat/>
  </w:style>
  <w:style w:type="table" w:styleId="89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97" w:customStyle="1">
    <w:name w:val="NormalCharacter1"/>
    <w:uiPriority w:val="0"/>
    <w:semiHidden/>
    <w:qFormat/>
    <w:rPr>
      <w:sz w:val="21"/>
      <w:szCs w:val="24"/>
      <w:lang w:val="en-US" w:eastAsia="zh-CN" w:bidi="ar-SA"/>
    </w:rPr>
  </w:style>
  <w:style w:type="character" w:styleId="898" w:customStyle="1">
    <w:name w:val="正文缩进 Char"/>
    <w:link w:val="891"/>
    <w:uiPriority w:val="0"/>
    <w:qFormat/>
    <w:rPr>
      <w:sz w:val="21"/>
    </w:rPr>
  </w:style>
  <w:style w:type="character" w:styleId="899" w:customStyle="1">
    <w:name w:val="标题 4 Char"/>
    <w:link w:val="893"/>
    <w:uiPriority w:val="9"/>
    <w:qFormat/>
    <w:rPr>
      <w:rFonts w:ascii="Cambria" w:hAnsi="Cambria"/>
      <w:b/>
      <w:bCs/>
      <w:sz w:val="28"/>
      <w:szCs w:val="28"/>
    </w:rPr>
  </w:style>
  <w:style w:type="character" w:styleId="900" w:customStyle="1">
    <w:name w:val="标题 5 Char"/>
    <w:link w:val="894"/>
    <w:uiPriority w:val="9"/>
    <w:qFormat/>
    <w:rPr>
      <w:b/>
      <w:bCs/>
      <w:sz w:val="28"/>
      <w:szCs w:val="28"/>
    </w:rPr>
  </w:style>
  <w:style w:type="paragraph" w:styleId="901" w:customStyle="1">
    <w:name w:val="题注1"/>
    <w:basedOn w:val="673"/>
    <w:next w:val="673"/>
    <w:uiPriority w:val="35"/>
    <w:qFormat/>
    <w:pPr>
      <w:jc w:val="center"/>
      <w:spacing w:before="156" w:after="156" w:line="360" w:lineRule="auto"/>
    </w:pPr>
    <w:rPr>
      <w:rFonts w:ascii="Arial" w:hAnsi="Arial" w:cs="Arial"/>
      <w:sz w:val="24"/>
      <w:szCs w:val="20"/>
    </w:rPr>
  </w:style>
  <w:style w:type="paragraph" w:styleId="902" w:customStyle="1">
    <w:name w:val="文档结构图1"/>
    <w:basedOn w:val="673"/>
    <w:uiPriority w:val="0"/>
    <w:semiHidden/>
    <w:qFormat/>
    <w:pPr>
      <w:shd w:val="clear" w:color="auto" w:fill="000080"/>
    </w:pPr>
  </w:style>
  <w:style w:type="paragraph" w:styleId="903" w:customStyle="1">
    <w:name w:val="批注文字1"/>
    <w:basedOn w:val="673"/>
    <w:link w:val="904"/>
    <w:uiPriority w:val="99"/>
    <w:unhideWhenUsed/>
    <w:qFormat/>
    <w:pPr>
      <w:jc w:val="left"/>
    </w:pPr>
  </w:style>
  <w:style w:type="character" w:styleId="904" w:customStyle="1">
    <w:name w:val="批注文字 Char"/>
    <w:link w:val="903"/>
    <w:uiPriority w:val="99"/>
    <w:qFormat/>
    <w:rPr>
      <w:sz w:val="21"/>
      <w:szCs w:val="24"/>
    </w:rPr>
  </w:style>
  <w:style w:type="paragraph" w:styleId="905" w:customStyle="1">
    <w:name w:val="正文文本 31"/>
    <w:basedOn w:val="673"/>
    <w:uiPriority w:val="0"/>
    <w:qFormat/>
    <w:rPr>
      <w:rFonts w:ascii="楷体_GB2312" w:hAnsi="Arial" w:eastAsia="楷体_GB2312" w:cs="Arial"/>
      <w:b/>
      <w:bCs/>
      <w:color w:val="000000"/>
      <w:sz w:val="24"/>
    </w:rPr>
  </w:style>
  <w:style w:type="paragraph" w:styleId="906" w:customStyle="1">
    <w:name w:val="正文文本11"/>
    <w:basedOn w:val="67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7" w:customStyle="1">
    <w:name w:val="正文文本缩进1"/>
    <w:basedOn w:val="673"/>
    <w:uiPriority w:val="0"/>
    <w:qFormat/>
    <w:pPr>
      <w:ind w:firstLine="630"/>
    </w:pPr>
    <w:rPr>
      <w:rFonts w:ascii="楷体_GB2312" w:eastAsia="楷体_GB2312"/>
      <w:sz w:val="32"/>
      <w:szCs w:val="20"/>
    </w:rPr>
  </w:style>
  <w:style w:type="paragraph" w:styleId="908" w:customStyle="1">
    <w:name w:val="文本块1"/>
    <w:basedOn w:val="673"/>
    <w:uiPriority w:val="0"/>
    <w:qFormat/>
    <w:pPr>
      <w:ind w:left="420" w:right="33"/>
      <w:jc w:val="left"/>
    </w:pPr>
    <w:rPr>
      <w:sz w:val="24"/>
      <w:szCs w:val="20"/>
    </w:rPr>
  </w:style>
  <w:style w:type="paragraph" w:styleId="909" w:customStyle="1">
    <w:name w:val="目录 31"/>
    <w:basedOn w:val="673"/>
    <w:next w:val="673"/>
    <w:uiPriority w:val="0"/>
    <w:semiHidden/>
    <w:qFormat/>
    <w:pPr>
      <w:ind w:left="840"/>
      <w:spacing w:line="300" w:lineRule="auto"/>
      <w:tabs>
        <w:tab w:val="right" w:pos="9344" w:leader="dot"/>
      </w:tabs>
    </w:pPr>
    <w:rPr>
      <w:rFonts w:ascii="Arial" w:hAnsi="Arial" w:cs="Arial"/>
      <w:szCs w:val="21"/>
    </w:rPr>
  </w:style>
  <w:style w:type="paragraph" w:styleId="910" w:customStyle="1">
    <w:name w:val="纯文本13"/>
    <w:basedOn w:val="673"/>
    <w:link w:val="911"/>
    <w:uiPriority w:val="0"/>
    <w:qFormat/>
    <w:rPr>
      <w:rFonts w:ascii="宋体" w:hAnsi="Courier New"/>
      <w:szCs w:val="20"/>
    </w:rPr>
  </w:style>
  <w:style w:type="character" w:styleId="911" w:customStyle="1">
    <w:name w:val="纯文本 Char"/>
    <w:link w:val="910"/>
    <w:uiPriority w:val="0"/>
    <w:qFormat/>
    <w:rPr>
      <w:rFonts w:ascii="宋体" w:hAnsi="Courier New" w:eastAsia="宋体"/>
      <w:sz w:val="21"/>
      <w:lang w:val="en-US" w:eastAsia="zh-CN" w:bidi="ar-SA"/>
    </w:rPr>
  </w:style>
  <w:style w:type="paragraph" w:styleId="912" w:customStyle="1">
    <w:name w:val="正文文本缩进 21"/>
    <w:basedOn w:val="673"/>
    <w:uiPriority w:val="0"/>
    <w:qFormat/>
    <w:pPr>
      <w:ind w:left="420"/>
      <w:spacing w:after="120" w:line="480" w:lineRule="auto"/>
    </w:pPr>
  </w:style>
  <w:style w:type="paragraph" w:styleId="913" w:customStyle="1">
    <w:name w:val="批注框文本1"/>
    <w:basedOn w:val="673"/>
    <w:link w:val="914"/>
    <w:uiPriority w:val="0"/>
    <w:qFormat/>
    <w:rPr>
      <w:sz w:val="18"/>
      <w:szCs w:val="18"/>
    </w:rPr>
  </w:style>
  <w:style w:type="character" w:styleId="914" w:customStyle="1">
    <w:name w:val="批注框文本 Char"/>
    <w:link w:val="913"/>
    <w:uiPriority w:val="0"/>
    <w:qFormat/>
    <w:rPr>
      <w:sz w:val="18"/>
      <w:szCs w:val="18"/>
    </w:rPr>
  </w:style>
  <w:style w:type="paragraph" w:styleId="915" w:customStyle="1">
    <w:name w:val="页脚11"/>
    <w:basedOn w:val="673"/>
    <w:link w:val="916"/>
    <w:uiPriority w:val="0"/>
    <w:qFormat/>
    <w:pPr>
      <w:jc w:val="left"/>
      <w:tabs>
        <w:tab w:val="center" w:pos="4153" w:leader="none"/>
        <w:tab w:val="right" w:pos="8306" w:leader="none"/>
      </w:tabs>
    </w:pPr>
    <w:rPr>
      <w:sz w:val="18"/>
      <w:szCs w:val="18"/>
    </w:rPr>
  </w:style>
  <w:style w:type="character" w:styleId="916" w:customStyle="1">
    <w:name w:val="页脚 Char"/>
    <w:link w:val="915"/>
    <w:uiPriority w:val="0"/>
    <w:qFormat/>
    <w:rPr>
      <w:sz w:val="18"/>
      <w:szCs w:val="18"/>
    </w:rPr>
  </w:style>
  <w:style w:type="paragraph" w:styleId="917" w:customStyle="1">
    <w:name w:val="页眉11"/>
    <w:basedOn w:val="673"/>
    <w:link w:val="918"/>
    <w:uiPriority w:val="0"/>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link w:val="917"/>
    <w:uiPriority w:val="0"/>
    <w:qFormat/>
    <w:rPr>
      <w:sz w:val="18"/>
      <w:szCs w:val="18"/>
    </w:rPr>
  </w:style>
  <w:style w:type="paragraph" w:styleId="919" w:customStyle="1">
    <w:name w:val="目录 11"/>
    <w:basedOn w:val="673"/>
    <w:next w:val="673"/>
    <w:uiPriority w:val="0"/>
    <w:semiHidden/>
    <w:qFormat/>
  </w:style>
  <w:style w:type="paragraph" w:styleId="920" w:customStyle="1">
    <w:name w:val="正文文本缩进 31"/>
    <w:basedOn w:val="673"/>
    <w:uiPriority w:val="99"/>
    <w:qFormat/>
    <w:pPr>
      <w:ind w:firstLine="420"/>
    </w:pPr>
    <w:rPr>
      <w:rFonts w:eastAsia="楷体_GB2312"/>
    </w:rPr>
  </w:style>
  <w:style w:type="paragraph" w:styleId="921" w:customStyle="1">
    <w:name w:val="目录 21"/>
    <w:basedOn w:val="673"/>
    <w:next w:val="673"/>
    <w:uiPriority w:val="0"/>
    <w:semiHidden/>
    <w:qFormat/>
    <w:pPr>
      <w:ind w:left="420"/>
    </w:pPr>
    <w:rPr>
      <w:szCs w:val="20"/>
    </w:rPr>
  </w:style>
  <w:style w:type="paragraph" w:styleId="922" w:customStyle="1">
    <w:name w:val="正文文本 21"/>
    <w:basedOn w:val="673"/>
    <w:link w:val="923"/>
    <w:uiPriority w:val="0"/>
    <w:qFormat/>
    <w:pPr>
      <w:spacing w:line="440" w:lineRule="exact"/>
    </w:pPr>
    <w:rPr>
      <w:rFonts w:ascii="楷体_GB2312" w:eastAsia="楷体_GB2312"/>
      <w:sz w:val="28"/>
    </w:rPr>
  </w:style>
  <w:style w:type="character" w:styleId="923" w:customStyle="1">
    <w:name w:val="正文文本 2 Char"/>
    <w:link w:val="922"/>
    <w:uiPriority w:val="0"/>
    <w:qFormat/>
    <w:rPr>
      <w:rFonts w:ascii="楷体_GB2312" w:eastAsia="楷体_GB2312"/>
      <w:sz w:val="28"/>
      <w:szCs w:val="24"/>
    </w:rPr>
  </w:style>
  <w:style w:type="paragraph" w:styleId="924" w:customStyle="1">
    <w:name w:val="批注主题1"/>
    <w:basedOn w:val="903"/>
    <w:next w:val="903"/>
    <w:link w:val="925"/>
    <w:uiPriority w:val="0"/>
    <w:qFormat/>
    <w:rPr>
      <w:b/>
      <w:bCs/>
    </w:rPr>
  </w:style>
  <w:style w:type="character" w:styleId="925" w:customStyle="1">
    <w:name w:val="批注主题 Char"/>
    <w:link w:val="924"/>
    <w:uiPriority w:val="0"/>
    <w:qFormat/>
    <w:rPr>
      <w:b/>
      <w:bCs/>
      <w:sz w:val="21"/>
      <w:szCs w:val="24"/>
    </w:rPr>
  </w:style>
  <w:style w:type="paragraph" w:styleId="926" w:customStyle="1">
    <w:name w:val="正文首行缩进 21"/>
    <w:basedOn w:val="907"/>
    <w:uiPriority w:val="0"/>
    <w:qFormat/>
    <w:pPr>
      <w:ind w:left="420" w:firstLine="420"/>
      <w:spacing w:after="120"/>
      <w:widowControl/>
    </w:pPr>
    <w:rPr>
      <w:rFonts w:ascii="仿宋_GB2312" w:eastAsia="仿宋_GB2312"/>
      <w:color w:val="ff6600"/>
      <w:sz w:val="21"/>
    </w:rPr>
  </w:style>
  <w:style w:type="table" w:styleId="927" w:customStyle="1">
    <w:name w:val="网格型1"/>
    <w:basedOn w:val="896"/>
    <w:uiPriority w:val="0"/>
    <w:qFormat/>
    <w:tblPr>
      <w:tblCellMar>
        <w:left w:w="0" w:type="dxa"/>
        <w:top w:w="0" w:type="dxa"/>
        <w:right w:w="0" w:type="dxa"/>
        <w:bottom w:w="0" w:type="dxa"/>
      </w:tblCellMar>
    </w:tblPr>
  </w:style>
  <w:style w:type="character" w:styleId="928" w:customStyle="1">
    <w:name w:val="要点1"/>
    <w:uiPriority w:val="0"/>
    <w:qFormat/>
  </w:style>
  <w:style w:type="character" w:styleId="929" w:customStyle="1">
    <w:name w:val="页码11"/>
    <w:uiPriority w:val="0"/>
    <w:qFormat/>
  </w:style>
  <w:style w:type="character" w:styleId="930" w:customStyle="1">
    <w:name w:val="已访问的超链接1"/>
    <w:uiPriority w:val="0"/>
    <w:qFormat/>
    <w:rPr>
      <w:color w:val="800080"/>
      <w:u w:val="none"/>
    </w:rPr>
  </w:style>
  <w:style w:type="character" w:styleId="931" w:customStyle="1">
    <w:name w:val="强调1"/>
    <w:uiPriority w:val="0"/>
    <w:qFormat/>
  </w:style>
  <w:style w:type="character" w:styleId="932" w:customStyle="1">
    <w:name w:val="HTML 定义1"/>
    <w:uiPriority w:val="0"/>
    <w:qFormat/>
  </w:style>
  <w:style w:type="character" w:styleId="933" w:customStyle="1">
    <w:name w:val="HTML 打字机1"/>
    <w:uiPriority w:val="0"/>
    <w:qFormat/>
    <w:rPr>
      <w:rFonts w:ascii="monospace" w:hAnsi="monospace" w:eastAsia="monospace" w:cs="monospace"/>
      <w:sz w:val="20"/>
    </w:rPr>
  </w:style>
  <w:style w:type="character" w:styleId="934" w:customStyle="1">
    <w:name w:val="HTML 缩写1"/>
    <w:uiPriority w:val="0"/>
    <w:qFormat/>
  </w:style>
  <w:style w:type="character" w:styleId="935" w:customStyle="1">
    <w:name w:val="HTML 变量1"/>
    <w:uiPriority w:val="0"/>
    <w:qFormat/>
  </w:style>
  <w:style w:type="character" w:styleId="936" w:customStyle="1">
    <w:name w:val="超链接1"/>
    <w:uiPriority w:val="0"/>
    <w:qFormat/>
    <w:rPr>
      <w:color w:val="0000ff"/>
      <w:u w:val="none"/>
    </w:rPr>
  </w:style>
  <w:style w:type="character" w:styleId="937" w:customStyle="1">
    <w:name w:val="HTML 代码1"/>
    <w:uiPriority w:val="0"/>
    <w:qFormat/>
    <w:rPr>
      <w:rFonts w:ascii="monospace" w:hAnsi="monospace" w:eastAsia="monospace" w:cs="monospace"/>
      <w:sz w:val="20"/>
    </w:rPr>
  </w:style>
  <w:style w:type="character" w:styleId="938" w:customStyle="1">
    <w:name w:val="批注引用1"/>
    <w:uiPriority w:val="0"/>
    <w:qFormat/>
    <w:rPr>
      <w:sz w:val="21"/>
      <w:szCs w:val="21"/>
    </w:rPr>
  </w:style>
  <w:style w:type="character" w:styleId="939" w:customStyle="1">
    <w:name w:val="HTML 引文1"/>
    <w:uiPriority w:val="0"/>
    <w:qFormat/>
  </w:style>
  <w:style w:type="character" w:styleId="940" w:customStyle="1">
    <w:name w:val="HTML 键盘1"/>
    <w:uiPriority w:val="0"/>
    <w:qFormat/>
    <w:rPr>
      <w:rFonts w:ascii="monospace" w:hAnsi="monospace" w:eastAsia="monospace" w:cs="monospace"/>
      <w:sz w:val="20"/>
    </w:rPr>
  </w:style>
  <w:style w:type="character" w:styleId="941" w:customStyle="1">
    <w:name w:val="HTML 样本1"/>
    <w:uiPriority w:val="0"/>
    <w:qFormat/>
    <w:rPr>
      <w:rFonts w:ascii="monospace" w:hAnsi="monospace" w:eastAsia="monospace" w:cs="monospace"/>
    </w:rPr>
  </w:style>
  <w:style w:type="character" w:styleId="942" w:customStyle="1">
    <w:name w:val="Font Style30"/>
    <w:uiPriority w:val="0"/>
    <w:qFormat/>
    <w:rPr>
      <w:rFonts w:ascii="宋体" w:eastAsia="宋体" w:cs="宋体"/>
      <w:sz w:val="14"/>
      <w:szCs w:val="14"/>
    </w:rPr>
  </w:style>
  <w:style w:type="character" w:styleId="943" w:customStyle="1">
    <w:name w:val="glyphicon"/>
    <w:uiPriority w:val="0"/>
    <w:qFormat/>
  </w:style>
  <w:style w:type="character" w:styleId="944" w:customStyle="1">
    <w:name w:val="Font Style36"/>
    <w:uiPriority w:val="0"/>
    <w:qFormat/>
    <w:rPr>
      <w:rFonts w:ascii="宋体" w:eastAsia="宋体" w:cs="宋体"/>
      <w:sz w:val="16"/>
      <w:szCs w:val="16"/>
    </w:rPr>
  </w:style>
  <w:style w:type="character" w:styleId="945" w:customStyle="1">
    <w:name w:val="hour_am"/>
    <w:uiPriority w:val="0"/>
    <w:qFormat/>
  </w:style>
  <w:style w:type="character" w:styleId="946" w:customStyle="1">
    <w:name w:val="old"/>
    <w:uiPriority w:val="0"/>
    <w:qFormat/>
    <w:rPr>
      <w:color w:val="999999"/>
    </w:rPr>
  </w:style>
  <w:style w:type="character" w:styleId="947" w:customStyle="1">
    <w:name w:val="标题 2 Char"/>
    <w:uiPriority w:val="0"/>
    <w:qFormat/>
    <w:rPr>
      <w:rFonts w:ascii="Arial" w:hAnsi="Arial" w:eastAsia="黑体"/>
      <w:b/>
      <w:sz w:val="32"/>
      <w:lang w:val="en-US" w:eastAsia="zh-CN"/>
    </w:rPr>
  </w:style>
  <w:style w:type="character" w:styleId="948" w:customStyle="1">
    <w:name w:val="hover"/>
    <w:uiPriority w:val="0"/>
    <w:qFormat/>
    <w:rPr>
      <w:shd w:val="clear" w:color="auto" w:fill="eeeeee"/>
    </w:rPr>
  </w:style>
  <w:style w:type="character" w:styleId="949" w:customStyle="1">
    <w:name w:val="hour_pm"/>
    <w:uiPriority w:val="0"/>
    <w:qFormat/>
  </w:style>
  <w:style w:type="character" w:styleId="950" w:customStyle="1">
    <w:name w:val="Font Style28"/>
    <w:uiPriority w:val="0"/>
    <w:qFormat/>
    <w:rPr>
      <w:rFonts w:ascii="Constantia" w:hAnsi="Constantia" w:cs="Constantia"/>
      <w:sz w:val="28"/>
      <w:szCs w:val="28"/>
    </w:rPr>
  </w:style>
  <w:style w:type="character" w:styleId="951" w:customStyle="1">
    <w:name w:val="Font Style29"/>
    <w:uiPriority w:val="0"/>
    <w:qFormat/>
    <w:rPr>
      <w:rFonts w:ascii="Arial" w:hAnsi="Arial" w:cs="Arial"/>
      <w:sz w:val="14"/>
      <w:szCs w:val="14"/>
    </w:rPr>
  </w:style>
  <w:style w:type="character" w:styleId="952" w:customStyle="1">
    <w:name w:val="Font Style37"/>
    <w:uiPriority w:val="0"/>
    <w:qFormat/>
    <w:rPr>
      <w:rFonts w:ascii="Arial" w:hAnsi="Arial" w:cs="Arial"/>
      <w:sz w:val="16"/>
      <w:szCs w:val="16"/>
    </w:rPr>
  </w:style>
  <w:style w:type="character" w:styleId="953" w:customStyle="1">
    <w:name w:val="Plain Text Char"/>
    <w:uiPriority w:val="0"/>
    <w:qFormat/>
    <w:rPr>
      <w:rFonts w:ascii="宋体" w:hAnsi="Courier New" w:eastAsia="宋体"/>
      <w:sz w:val="21"/>
      <w:lang w:val="en-US" w:eastAsia="zh-CN" w:bidi="ar-SA"/>
    </w:rPr>
  </w:style>
  <w:style w:type="paragraph" w:styleId="954" w:customStyle="1">
    <w:name w:val="默认段落字体 Para Char Char Char Char Char Char Char Char Char1 Char Char Char Char Char Char Char"/>
    <w:basedOn w:val="902"/>
    <w:uiPriority w:val="0"/>
    <w:qFormat/>
    <w:rPr>
      <w:rFonts w:ascii="Tahoma" w:hAnsi="Tahoma"/>
      <w:sz w:val="24"/>
    </w:rPr>
  </w:style>
  <w:style w:type="paragraph" w:styleId="955" w:customStyle="1">
    <w:name w:val="Style9"/>
    <w:basedOn w:val="673"/>
    <w:uiPriority w:val="0"/>
    <w:qFormat/>
    <w:pPr>
      <w:jc w:val="left"/>
    </w:pPr>
    <w:rPr>
      <w:rFonts w:ascii="宋体"/>
      <w:sz w:val="24"/>
    </w:rPr>
  </w:style>
  <w:style w:type="paragraph" w:styleId="956" w:customStyle="1">
    <w:name w:val="Char"/>
    <w:basedOn w:val="673"/>
    <w:uiPriority w:val="0"/>
    <w:qFormat/>
    <w:pPr>
      <w:tabs>
        <w:tab w:val="left" w:pos="360" w:leader="none"/>
      </w:tabs>
    </w:pPr>
    <w:rPr>
      <w:sz w:val="24"/>
    </w:rPr>
  </w:style>
  <w:style w:type="paragraph" w:styleId="957" w:customStyle="1">
    <w:name w:val="Char Char Char1 Char Char Char Char"/>
    <w:basedOn w:val="673"/>
    <w:uiPriority w:val="0"/>
    <w:qFormat/>
    <w:pPr>
      <w:jc w:val="left"/>
      <w:spacing w:after="160" w:line="240" w:lineRule="exact"/>
      <w:widowControl/>
    </w:pPr>
    <w:rPr>
      <w:rFonts w:ascii="宋体" w:hAnsi="宋体"/>
      <w:b/>
      <w:sz w:val="28"/>
      <w:szCs w:val="28"/>
    </w:rPr>
  </w:style>
  <w:style w:type="paragraph" w:styleId="958" w:customStyle="1">
    <w:name w:val="Style10"/>
    <w:basedOn w:val="673"/>
    <w:uiPriority w:val="0"/>
    <w:qFormat/>
    <w:pPr>
      <w:jc w:val="left"/>
    </w:pPr>
    <w:rPr>
      <w:rFonts w:ascii="宋体"/>
      <w:sz w:val="24"/>
    </w:rPr>
  </w:style>
  <w:style w:type="paragraph" w:styleId="959" w:customStyle="1">
    <w:name w:val="首行缩进"/>
    <w:basedOn w:val="673"/>
    <w:uiPriority w:val="0"/>
    <w:qFormat/>
    <w:pPr>
      <w:ind w:firstLine="420"/>
      <w:spacing w:line="360" w:lineRule="auto"/>
    </w:pPr>
    <w:rPr>
      <w:sz w:val="20"/>
    </w:rPr>
  </w:style>
  <w:style w:type="paragraph" w:styleId="960" w:customStyle="1">
    <w:name w:val="普通正文"/>
    <w:basedOn w:val="673"/>
    <w:uiPriority w:val="0"/>
    <w:qFormat/>
    <w:pPr>
      <w:ind w:firstLine="480"/>
      <w:jc w:val="left"/>
      <w:spacing w:before="120" w:after="120" w:line="360" w:lineRule="auto"/>
    </w:pPr>
    <w:rPr>
      <w:rFonts w:ascii="Arial" w:hAnsi="Arial"/>
      <w:sz w:val="24"/>
    </w:rPr>
  </w:style>
  <w:style w:type="paragraph" w:styleId="961" w:customStyle="1">
    <w:name w:val="要点标题"/>
    <w:basedOn w:val="673"/>
    <w:uiPriority w:val="0"/>
    <w:qFormat/>
    <w:pPr>
      <w:numPr>
        <w:ilvl w:val="0"/>
        <w:numId w:val="1"/>
      </w:numPr>
      <w:jc w:val="left"/>
    </w:pPr>
    <w:rPr>
      <w:rFonts w:ascii="宋体" w:hAnsi="宋体"/>
      <w:b/>
      <w:sz w:val="24"/>
    </w:rPr>
  </w:style>
  <w:style w:type="paragraph" w:styleId="962" w:customStyle="1">
    <w:name w:val="文档正文"/>
    <w:basedOn w:val="673"/>
    <w:uiPriority w:val="0"/>
    <w:qFormat/>
    <w:pPr>
      <w:ind w:firstLine="567"/>
      <w:spacing w:line="480" w:lineRule="atLeast"/>
    </w:pPr>
    <w:rPr>
      <w:rFonts w:ascii="仿宋_GB2312"/>
      <w:szCs w:val="20"/>
    </w:rPr>
  </w:style>
  <w:style w:type="paragraph" w:styleId="963" w:customStyle="1">
    <w:name w:val="Char Char Char Char"/>
    <w:basedOn w:val="902"/>
    <w:uiPriority w:val="0"/>
    <w:qFormat/>
    <w:pPr>
      <w:spacing w:line="360" w:lineRule="auto"/>
    </w:pPr>
    <w:rPr>
      <w:rFonts w:ascii="Tahoma" w:hAnsi="Tahoma"/>
      <w:sz w:val="24"/>
    </w:rPr>
  </w:style>
  <w:style w:type="paragraph" w:styleId="964" w:customStyle="1">
    <w:name w:val="Char11"/>
    <w:basedOn w:val="673"/>
    <w:uiPriority w:val="0"/>
    <w:qFormat/>
    <w:pPr>
      <w:ind w:left="420" w:hanging="420"/>
      <w:jc w:val="left"/>
      <w:tabs>
        <w:tab w:val="left" w:pos="420" w:leader="none"/>
      </w:tabs>
    </w:pPr>
    <w:rPr>
      <w:szCs w:val="20"/>
    </w:rPr>
  </w:style>
  <w:style w:type="paragraph" w:styleId="965" w:customStyle="1">
    <w:name w:val="正文（无缩进）"/>
    <w:basedOn w:val="673"/>
    <w:uiPriority w:val="0"/>
    <w:qFormat/>
    <w:pPr>
      <w:spacing w:line="360" w:lineRule="auto"/>
    </w:pPr>
    <w:rPr>
      <w:rFonts w:ascii="Calibri" w:hAnsi="Calibri"/>
      <w:sz w:val="24"/>
      <w:szCs w:val="21"/>
    </w:rPr>
  </w:style>
  <w:style w:type="paragraph" w:styleId="966" w:customStyle="1">
    <w:name w:val="Style11"/>
    <w:basedOn w:val="673"/>
    <w:uiPriority w:val="0"/>
    <w:qFormat/>
    <w:pPr>
      <w:jc w:val="left"/>
      <w:spacing w:line="446" w:lineRule="exact"/>
    </w:pPr>
    <w:rPr>
      <w:rFonts w:ascii="宋体"/>
      <w:sz w:val="24"/>
    </w:rPr>
  </w:style>
  <w:style w:type="paragraph" w:styleId="967" w:customStyle="1">
    <w:name w:val="_Style 56"/>
    <w:basedOn w:val="902"/>
    <w:uiPriority w:val="0"/>
    <w:qFormat/>
    <w:pPr>
      <w:spacing w:line="436" w:lineRule="exact"/>
    </w:pPr>
    <w:rPr>
      <w:szCs w:val="20"/>
    </w:rPr>
  </w:style>
  <w:style w:type="paragraph" w:styleId="968" w:customStyle="1">
    <w:name w:val="Char Char1 Char Char Char Char Char Char"/>
    <w:basedOn w:val="673"/>
    <w:uiPriority w:val="0"/>
    <w:qFormat/>
    <w:pPr>
      <w:jc w:val="center"/>
      <w:widowControl/>
    </w:pPr>
    <w:rPr>
      <w:rFonts w:ascii="宋体" w:hAnsi="宋体"/>
      <w:b/>
      <w:sz w:val="24"/>
      <w:lang w:eastAsia="en-US"/>
    </w:rPr>
  </w:style>
  <w:style w:type="paragraph" w:styleId="969" w:customStyle="1">
    <w:name w:val="Char1"/>
    <w:basedOn w:val="673"/>
    <w:uiPriority w:val="0"/>
    <w:qFormat/>
    <w:pPr>
      <w:ind w:left="840" w:hanging="420"/>
      <w:tabs>
        <w:tab w:val="left" w:pos="840" w:leader="none"/>
      </w:tabs>
    </w:pPr>
    <w:rPr>
      <w:sz w:val="24"/>
    </w:rPr>
  </w:style>
  <w:style w:type="paragraph" w:styleId="970" w:customStyle="1">
    <w:name w:val="我的样式"/>
    <w:basedOn w:val="889"/>
    <w:next w:val="673"/>
    <w:uiPriority w:val="0"/>
    <w:qFormat/>
    <w:pPr>
      <w:numPr>
        <w:ilvl w:val="0"/>
        <w:numId w:val="2"/>
      </w:numPr>
      <w:spacing w:line="360" w:lineRule="auto"/>
    </w:pPr>
    <w:rPr>
      <w:rFonts w:ascii="仿宋_GB2312" w:eastAsia="仿宋_GB2312"/>
      <w:sz w:val="32"/>
      <w:szCs w:val="30"/>
    </w:rPr>
  </w:style>
  <w:style w:type="paragraph" w:styleId="97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2" w:customStyle="1">
    <w:name w:val="Char Char Char Char Char Char Char Char Char Char Char Char Char"/>
    <w:basedOn w:val="673"/>
    <w:uiPriority w:val="0"/>
    <w:qFormat/>
    <w:pPr>
      <w:jc w:val="left"/>
      <w:spacing w:after="160" w:line="240" w:lineRule="exact"/>
      <w:widowControl/>
    </w:pPr>
    <w:rPr>
      <w:rFonts w:ascii="Verdana" w:hAnsi="Verdana"/>
      <w:sz w:val="20"/>
      <w:szCs w:val="20"/>
      <w:lang w:eastAsia="en-US"/>
    </w:rPr>
  </w:style>
  <w:style w:type="paragraph" w:styleId="973" w:customStyle="1">
    <w:name w:val="标题1"/>
    <w:basedOn w:val="889"/>
    <w:next w:val="673"/>
    <w:uiPriority w:val="0"/>
    <w:qFormat/>
    <w:pPr>
      <w:numPr>
        <w:ilvl w:val="0"/>
        <w:numId w:val="3"/>
      </w:numPr>
      <w:jc w:val="left"/>
      <w:spacing w:line="578" w:lineRule="atLeast"/>
    </w:pPr>
  </w:style>
  <w:style w:type="paragraph" w:styleId="974" w:customStyle="1">
    <w:name w:val="正文（缩进） Char1"/>
    <w:basedOn w:val="673"/>
    <w:uiPriority w:val="0"/>
    <w:qFormat/>
    <w:pPr>
      <w:ind w:firstLine="480"/>
      <w:spacing w:before="156" w:after="156" w:line="360" w:lineRule="auto"/>
    </w:pPr>
    <w:rPr>
      <w:sz w:val="24"/>
    </w:rPr>
  </w:style>
  <w:style w:type="paragraph" w:styleId="97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76" w:customStyle="1">
    <w:name w:val="Style12"/>
    <w:basedOn w:val="673"/>
    <w:uiPriority w:val="0"/>
    <w:qFormat/>
    <w:pPr>
      <w:jc w:val="left"/>
    </w:pPr>
    <w:rPr>
      <w:rFonts w:ascii="宋体"/>
      <w:sz w:val="24"/>
    </w:rPr>
  </w:style>
  <w:style w:type="paragraph" w:styleId="977" w:customStyle="1">
    <w:name w:val="纯文本12"/>
    <w:basedOn w:val="673"/>
    <w:uiPriority w:val="0"/>
    <w:qFormat/>
    <w:rPr>
      <w:rFonts w:ascii="宋体" w:hAnsi="Courier New"/>
      <w:szCs w:val="20"/>
    </w:rPr>
  </w:style>
  <w:style w:type="paragraph" w:styleId="978" w:customStyle="1">
    <w:name w:val="纯文本11"/>
    <w:basedOn w:val="673"/>
    <w:uiPriority w:val="0"/>
    <w:qFormat/>
    <w:rPr>
      <w:rFonts w:ascii="宋体" w:hAnsi="Courier New"/>
      <w:szCs w:val="20"/>
    </w:rPr>
  </w:style>
  <w:style w:type="paragraph" w:styleId="979" w:customStyle="1">
    <w:name w:val="页眉1"/>
    <w:basedOn w:val="673"/>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页脚1"/>
    <w:basedOn w:val="673"/>
    <w:uiPriority w:val="0"/>
    <w:qFormat/>
    <w:pPr>
      <w:jc w:val="left"/>
      <w:tabs>
        <w:tab w:val="center" w:pos="4153" w:leader="none"/>
        <w:tab w:val="right" w:pos="8306" w:leader="none"/>
      </w:tabs>
    </w:pPr>
    <w:rPr>
      <w:sz w:val="18"/>
      <w:szCs w:val="18"/>
    </w:rPr>
  </w:style>
  <w:style w:type="character" w:styleId="981" w:customStyle="1">
    <w:name w:val="页码1"/>
    <w:uiPriority w:val="0"/>
    <w:qFormat/>
    <w:rPr>
      <w:sz w:val="21"/>
      <w:szCs w:val="24"/>
      <w:lang w:val="en-US" w:eastAsia="zh-CN" w:bidi="ar-SA"/>
    </w:rPr>
  </w:style>
  <w:style w:type="paragraph" w:styleId="982" w:customStyle="1">
    <w:name w:val="纯文本1"/>
    <w:basedOn w:val="673"/>
    <w:uiPriority w:val="99"/>
    <w:qFormat/>
    <w:rPr>
      <w:rFonts w:ascii="宋体" w:hAnsi="Courier New"/>
      <w:szCs w:val="20"/>
    </w:rPr>
  </w:style>
  <w:style w:type="paragraph" w:styleId="983" w:customStyle="1">
    <w:name w:val="PlainText1"/>
    <w:basedOn w:val="673"/>
    <w:uiPriority w:val="0"/>
    <w:qFormat/>
    <w:pPr>
      <w:widowControl/>
    </w:pPr>
    <w:rPr>
      <w:rFonts w:ascii="宋体" w:hAnsi="宋体"/>
      <w:szCs w:val="21"/>
    </w:rPr>
  </w:style>
  <w:style w:type="paragraph" w:styleId="984" w:customStyle="1">
    <w:name w:val="正文文本1"/>
    <w:basedOn w:val="673"/>
    <w:next w:val="67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85" w:customStyle="1">
    <w:name w:val="font11"/>
    <w:basedOn w:val="683"/>
    <w:uiPriority w:val="0"/>
    <w:qFormat/>
    <w:rPr>
      <w:rFonts w:hint="eastAsia" w:ascii="仿宋" w:hAnsi="仿宋" w:eastAsia="仿宋" w:cs="仿宋"/>
      <w:b/>
      <w:bCs/>
      <w:color w:val="000000"/>
      <w:sz w:val="21"/>
      <w:szCs w:val="21"/>
      <w:u w:val="none"/>
    </w:rPr>
  </w:style>
  <w:style w:type="character" w:styleId="986" w:customStyle="1">
    <w:name w:val="font21"/>
    <w:basedOn w:val="683"/>
    <w:uiPriority w:val="0"/>
    <w:qFormat/>
    <w:rPr>
      <w:rFonts w:hint="eastAsia" w:ascii="仿宋" w:hAnsi="仿宋" w:eastAsia="仿宋" w:cs="仿宋"/>
      <w:color w:val="000000"/>
      <w:sz w:val="21"/>
      <w:szCs w:val="21"/>
      <w:u w:val="none"/>
    </w:rPr>
  </w:style>
  <w:style w:type="character" w:styleId="987" w:customStyle="1">
    <w:name w:val="font41"/>
    <w:basedOn w:val="683"/>
    <w:uiPriority w:val="0"/>
    <w:qFormat/>
    <w:rPr>
      <w:rFonts w:hint="eastAsia" w:ascii="仿宋" w:hAnsi="仿宋" w:eastAsia="仿宋" w:cs="仿宋"/>
      <w:color w:val="000000"/>
      <w:sz w:val="24"/>
      <w:szCs w:val="24"/>
      <w:u w:val="none"/>
    </w:rPr>
  </w:style>
  <w:style w:type="paragraph" w:styleId="988" w:customStyle="1">
    <w:name w:val="正文文本 211"/>
    <w:basedOn w:val="673"/>
    <w:uiPriority w:val="0"/>
    <w:qFormat/>
    <w:pPr>
      <w:spacing w:line="440" w:lineRule="exact"/>
    </w:pPr>
    <w:rPr>
      <w:rFonts w:ascii="楷体_GB2312" w:eastAsia="楷体_GB2312"/>
      <w:sz w:val="28"/>
    </w:rPr>
  </w:style>
  <w:style w:type="paragraph" w:styleId="989" w:customStyle="1">
    <w:name w:val="Table Text"/>
    <w:basedOn w:val="673"/>
    <w:uiPriority w:val="0"/>
    <w:semiHidden/>
    <w:qFormat/>
    <w:rPr>
      <w:rFonts w:ascii="Arial" w:hAnsi="Arial" w:eastAsia="Arial" w:cs="Arial"/>
      <w:sz w:val="21"/>
      <w:szCs w:val="21"/>
      <w:lang w:val="en-US" w:eastAsia="en-US" w:bidi="ar-SA"/>
    </w:rPr>
  </w:style>
  <w:style w:type="table" w:styleId="990" w:customStyle="1">
    <w:name w:val="Table Normal"/>
    <w:uiPriority w:val="0"/>
    <w:semiHidden/>
    <w:unhideWhenUsed/>
    <w:qFormat/>
    <w:tblPr>
      <w:tblCellMar>
        <w:left w:w="0" w:type="dxa"/>
        <w:top w:w="0" w:type="dxa"/>
        <w:right w:w="0" w:type="dxa"/>
        <w:bottom w:w="0" w:type="dxa"/>
      </w:tblCellMar>
    </w:tbl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HAws</cp:lastModifiedBy>
  <cp:revision>10</cp:revision>
  <dcterms:created xsi:type="dcterms:W3CDTF">2024-01-08T08:47:00Z</dcterms:created>
  <dcterms:modified xsi:type="dcterms:W3CDTF">2026-06-10T06:51:22Z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D51F46A4552B4A7E9FFF8C1F6F1D44E1_13</vt:lpwstr>
  </property>
  <property fmtid="{D5CDD505-2E9C-101B-9397-08002B2CF9AE}" pid="4" name="KSOTemplateDocerSaveRecord">
    <vt:lpwstr>eyJoZGlkIjoiMjljMWNmYTMzM2U1MDVmZmY2ZjljNDJmYjAxZDc1YmYiLCJ1c2VySWQiOiI0MTI5NjI2MzUifQ==</vt:lpwstr>
  </property>
</Properties>
</file>